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theme/themeOverride5.xml" ContentType="application/vnd.openxmlformats-officedocument.themeOverride+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charts/chart13.xml" ContentType="application/vnd.openxmlformats-officedocument.drawingml.chart+xml"/>
  <Override PartName="/word/theme/themeOverride8.xml" ContentType="application/vnd.openxmlformats-officedocument.themeOverride+xml"/>
  <Override PartName="/word/charts/chart14.xml" ContentType="application/vnd.openxmlformats-officedocument.drawingml.chart+xml"/>
  <Override PartName="/word/theme/themeOverride9.xml" ContentType="application/vnd.openxmlformats-officedocument.themeOverride+xml"/>
  <Override PartName="/word/charts/chart15.xml" ContentType="application/vnd.openxmlformats-officedocument.drawingml.chart+xml"/>
  <Override PartName="/word/theme/themeOverride10.xml" ContentType="application/vnd.openxmlformats-officedocument.themeOverride+xml"/>
  <Override PartName="/word/charts/chart16.xml" ContentType="application/vnd.openxmlformats-officedocument.drawingml.chart+xml"/>
  <Override PartName="/word/theme/themeOverride11.xml" ContentType="application/vnd.openxmlformats-officedocument.themeOverride+xml"/>
  <Override PartName="/word/charts/chart17.xml" ContentType="application/vnd.openxmlformats-officedocument.drawingml.chart+xml"/>
  <Override PartName="/word/theme/themeOverride12.xml" ContentType="application/vnd.openxmlformats-officedocument.themeOverride+xml"/>
  <Override PartName="/word/charts/chart18.xml" ContentType="application/vnd.openxmlformats-officedocument.drawingml.chart+xml"/>
  <Override PartName="/word/theme/themeOverride1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6205"/>
        <w:gridCol w:w="3081"/>
      </w:tblGrid>
      <w:tr w:rsidR="00ED6A68" w:rsidRPr="00BA612C" w14:paraId="5DFCA245" w14:textId="77777777" w:rsidTr="00610BA0">
        <w:trPr>
          <w:trHeight w:val="557"/>
        </w:trPr>
        <w:tc>
          <w:tcPr>
            <w:tcW w:w="5000" w:type="pct"/>
            <w:gridSpan w:val="2"/>
            <w:vAlign w:val="center"/>
          </w:tcPr>
          <w:p w14:paraId="568596F2" w14:textId="4B0BE734" w:rsidR="00ED6A68" w:rsidRPr="00BA612C" w:rsidRDefault="0065380E" w:rsidP="002723EC">
            <w:pPr>
              <w:rPr>
                <w:b/>
              </w:rPr>
            </w:pPr>
            <w:r w:rsidRPr="00BA612C">
              <w:rPr>
                <w:b/>
                <w:lang w:eastAsia="fr-FR"/>
              </w:rPr>
              <w:t>European Semester 201</w:t>
            </w:r>
            <w:r w:rsidR="00BB63DF" w:rsidRPr="00BA612C">
              <w:rPr>
                <w:b/>
                <w:lang w:eastAsia="fr-FR"/>
              </w:rPr>
              <w:t>6</w:t>
            </w:r>
            <w:r w:rsidRPr="00BA612C">
              <w:rPr>
                <w:b/>
                <w:lang w:eastAsia="fr-FR"/>
              </w:rPr>
              <w:t>/201</w:t>
            </w:r>
            <w:r w:rsidR="00BB63DF" w:rsidRPr="00BA612C">
              <w:rPr>
                <w:b/>
                <w:lang w:eastAsia="fr-FR"/>
              </w:rPr>
              <w:t>7</w:t>
            </w:r>
            <w:r w:rsidRPr="00BA612C">
              <w:rPr>
                <w:b/>
                <w:lang w:eastAsia="fr-FR"/>
              </w:rPr>
              <w:t xml:space="preserve"> country fiche on disability</w:t>
            </w:r>
          </w:p>
        </w:tc>
      </w:tr>
      <w:tr w:rsidR="00ED6A68" w:rsidRPr="00BA612C" w14:paraId="774E29C3" w14:textId="77777777" w:rsidTr="00610BA0">
        <w:trPr>
          <w:trHeight w:val="557"/>
        </w:trPr>
        <w:tc>
          <w:tcPr>
            <w:tcW w:w="3341" w:type="pct"/>
          </w:tcPr>
          <w:p w14:paraId="108591F0" w14:textId="351EC65C" w:rsidR="00ED6A68" w:rsidRPr="00BA612C" w:rsidRDefault="00F12E87" w:rsidP="002723EC">
            <w:pPr>
              <w:rPr>
                <w:b/>
              </w:rPr>
            </w:pPr>
            <w:r w:rsidRPr="00BA612C">
              <w:rPr>
                <w:b/>
              </w:rPr>
              <w:t>Austria</w:t>
            </w:r>
          </w:p>
        </w:tc>
        <w:tc>
          <w:tcPr>
            <w:tcW w:w="1659" w:type="pct"/>
            <w:vMerge w:val="restart"/>
            <w:vAlign w:val="center"/>
          </w:tcPr>
          <w:p w14:paraId="6F3C4C75" w14:textId="77777777" w:rsidR="00ED6A68" w:rsidRPr="00BA612C" w:rsidRDefault="00ED6A68" w:rsidP="002723EC">
            <w:r w:rsidRPr="00BA612C">
              <w:rPr>
                <w:noProof/>
                <w:color w:val="000000"/>
                <w:lang w:val="nl-NL" w:eastAsia="nl-NL"/>
              </w:rPr>
              <w:drawing>
                <wp:inline distT="0" distB="0" distL="0" distR="0" wp14:anchorId="61A828C3" wp14:editId="5A3E60CF">
                  <wp:extent cx="1762125" cy="1714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illustrating united-kingdom"/>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762125" cy="1714500"/>
                          </a:xfrm>
                          <a:prstGeom prst="rect">
                            <a:avLst/>
                          </a:prstGeom>
                          <a:noFill/>
                          <a:ln>
                            <a:noFill/>
                          </a:ln>
                        </pic:spPr>
                      </pic:pic>
                    </a:graphicData>
                  </a:graphic>
                </wp:inline>
              </w:drawing>
            </w:r>
          </w:p>
        </w:tc>
      </w:tr>
      <w:tr w:rsidR="00ED6A68" w:rsidRPr="00BA612C" w14:paraId="3FE31403" w14:textId="77777777" w:rsidTr="00610BA0">
        <w:trPr>
          <w:trHeight w:val="1274"/>
        </w:trPr>
        <w:tc>
          <w:tcPr>
            <w:tcW w:w="3341" w:type="pct"/>
          </w:tcPr>
          <w:p w14:paraId="0CA50CD0" w14:textId="5A19C9D5" w:rsidR="00ED6A68" w:rsidRPr="00BA612C" w:rsidRDefault="00ED6A68" w:rsidP="002723EC">
            <w:r w:rsidRPr="00BA612C">
              <w:t xml:space="preserve">Report prepared by: </w:t>
            </w:r>
          </w:p>
          <w:p w14:paraId="0B094D5B" w14:textId="77777777" w:rsidR="00354451" w:rsidRPr="00BA612C" w:rsidRDefault="00354451" w:rsidP="002723EC"/>
          <w:p w14:paraId="32E93B7D" w14:textId="77777777" w:rsidR="00ED6A68" w:rsidRPr="00BA612C" w:rsidRDefault="00E32F03" w:rsidP="002723EC">
            <w:r w:rsidRPr="00BA612C">
              <w:t>Petra Flieger</w:t>
            </w:r>
          </w:p>
          <w:p w14:paraId="389BFF88" w14:textId="11F1FE74" w:rsidR="00ED6A68" w:rsidRPr="00BA612C" w:rsidRDefault="00E32F03" w:rsidP="002723EC">
            <w:r w:rsidRPr="00BA612C">
              <w:t>Ursula Naue</w:t>
            </w:r>
          </w:p>
        </w:tc>
        <w:tc>
          <w:tcPr>
            <w:tcW w:w="1659" w:type="pct"/>
            <w:vMerge/>
          </w:tcPr>
          <w:p w14:paraId="53A6C512" w14:textId="77777777" w:rsidR="00ED6A68" w:rsidRPr="00BA612C" w:rsidRDefault="00ED6A68" w:rsidP="002723EC">
            <w:pPr>
              <w:rPr>
                <w:noProof/>
                <w:color w:val="000000"/>
                <w:lang w:eastAsia="en-GB"/>
              </w:rPr>
            </w:pPr>
          </w:p>
        </w:tc>
      </w:tr>
      <w:tr w:rsidR="00ED6A68" w:rsidRPr="00BA612C" w14:paraId="2B406D27" w14:textId="77777777" w:rsidTr="00610BA0">
        <w:trPr>
          <w:trHeight w:val="940"/>
        </w:trPr>
        <w:tc>
          <w:tcPr>
            <w:tcW w:w="3341" w:type="pct"/>
          </w:tcPr>
          <w:p w14:paraId="05839414" w14:textId="77777777" w:rsidR="00ED6A68" w:rsidRPr="00BA612C" w:rsidRDefault="00ED6A68" w:rsidP="002723EC">
            <w:r w:rsidRPr="00BA612C">
              <w:t>With comparative data provided by the ANED core team</w:t>
            </w:r>
          </w:p>
        </w:tc>
        <w:tc>
          <w:tcPr>
            <w:tcW w:w="1659" w:type="pct"/>
            <w:vMerge/>
          </w:tcPr>
          <w:p w14:paraId="23D486B4" w14:textId="77777777" w:rsidR="00ED6A68" w:rsidRPr="00BA612C" w:rsidRDefault="00ED6A68" w:rsidP="002723EC">
            <w:pPr>
              <w:rPr>
                <w:noProof/>
                <w:color w:val="000000"/>
                <w:lang w:eastAsia="en-GB"/>
              </w:rPr>
            </w:pPr>
          </w:p>
        </w:tc>
      </w:tr>
    </w:tbl>
    <w:p w14:paraId="12C451DF" w14:textId="77777777" w:rsidR="00ED6A68" w:rsidRPr="00BA612C" w:rsidRDefault="00ED6A68" w:rsidP="002723EC"/>
    <w:p w14:paraId="193E3430" w14:textId="77777777" w:rsidR="00030D37" w:rsidRPr="00BA612C" w:rsidRDefault="00030D37" w:rsidP="002723EC">
      <w:pPr>
        <w:pStyle w:val="BodyText"/>
        <w:spacing w:after="0"/>
      </w:pPr>
    </w:p>
    <w:p w14:paraId="4DA8E113" w14:textId="77777777" w:rsidR="00030D37" w:rsidRPr="00BA612C" w:rsidRDefault="00030D37" w:rsidP="002723EC">
      <w:pPr>
        <w:pStyle w:val="BodyText"/>
        <w:spacing w:after="0"/>
      </w:pPr>
    </w:p>
    <w:p w14:paraId="74653772" w14:textId="785AC79E" w:rsidR="00AF323E" w:rsidRPr="00BA612C" w:rsidRDefault="00AF323E" w:rsidP="002723EC">
      <w:pPr>
        <w:pStyle w:val="BodyText"/>
        <w:spacing w:after="0"/>
      </w:pPr>
      <w:r w:rsidRPr="00BA612C">
        <w:t xml:space="preserve">The </w:t>
      </w:r>
      <w:hyperlink r:id="rId9" w:history="1">
        <w:r w:rsidRPr="00BA612C">
          <w:rPr>
            <w:rStyle w:val="Hyperlink"/>
          </w:rPr>
          <w:t>Academic Network of European Disability experts</w:t>
        </w:r>
      </w:hyperlink>
      <w:r w:rsidRPr="00BA612C">
        <w:t xml:space="preserve"> (ANED) was established by the European Commission in 2008 to provide scientific support and advice for its disability policy Unit. In particular, the activities of the Network support the development of the </w:t>
      </w:r>
      <w:r w:rsidR="00534975" w:rsidRPr="00BA612C">
        <w:t>European Disability Strategy</w:t>
      </w:r>
      <w:r w:rsidRPr="00BA612C">
        <w:t xml:space="preserve"> </w:t>
      </w:r>
      <w:r w:rsidR="00534975" w:rsidRPr="00BA612C">
        <w:t xml:space="preserve">2010-2020 </w:t>
      </w:r>
      <w:r w:rsidRPr="00BA612C">
        <w:t>and practical implementation of the United Nations Convention on the Rights of Disabled People</w:t>
      </w:r>
      <w:r w:rsidR="00534975" w:rsidRPr="00BA612C">
        <w:t xml:space="preserve"> in the EU</w:t>
      </w:r>
      <w:r w:rsidRPr="00BA612C">
        <w:t>.</w:t>
      </w:r>
    </w:p>
    <w:p w14:paraId="1DA5D4E7" w14:textId="77777777" w:rsidR="00CF4321" w:rsidRPr="00BA612C" w:rsidRDefault="00CF4321" w:rsidP="002723EC">
      <w:pPr>
        <w:pStyle w:val="BodyText"/>
        <w:spacing w:after="0"/>
        <w:rPr>
          <w:lang w:eastAsia="en-GB"/>
        </w:rPr>
      </w:pPr>
    </w:p>
    <w:p w14:paraId="11299BD3" w14:textId="166499F3" w:rsidR="00AF323E" w:rsidRPr="00BA612C" w:rsidRDefault="00AF323E" w:rsidP="002723EC">
      <w:pPr>
        <w:pStyle w:val="BodyText"/>
        <w:spacing w:after="0"/>
      </w:pPr>
      <w:r w:rsidRPr="00BA612C">
        <w:t xml:space="preserve">This country report has been prepared as input for the </w:t>
      </w:r>
      <w:r w:rsidR="00534975" w:rsidRPr="00BA612C">
        <w:t>E</w:t>
      </w:r>
      <w:r w:rsidR="00526839" w:rsidRPr="00BA612C">
        <w:t>uropean Semester</w:t>
      </w:r>
      <w:r w:rsidR="00C75AFD" w:rsidRPr="00BA612C">
        <w:t xml:space="preserve"> from a disability perspective</w:t>
      </w:r>
      <w:r w:rsidRPr="00BA612C">
        <w:t xml:space="preserve">. </w:t>
      </w:r>
    </w:p>
    <w:p w14:paraId="7DE56CB1" w14:textId="77777777" w:rsidR="00CF4321" w:rsidRPr="00BA612C" w:rsidRDefault="00CF4321" w:rsidP="002723EC">
      <w:pPr>
        <w:pStyle w:val="BodyText"/>
        <w:spacing w:after="0"/>
      </w:pPr>
    </w:p>
    <w:p w14:paraId="65B6E6A5" w14:textId="0EF968C3" w:rsidR="0065380E" w:rsidRPr="00BA612C" w:rsidRDefault="00480DCE" w:rsidP="002723EC">
      <w:pPr>
        <w:pStyle w:val="BodyText"/>
        <w:spacing w:after="0"/>
        <w:rPr>
          <w:i/>
        </w:rPr>
      </w:pPr>
      <w:r w:rsidRPr="00BA612C">
        <w:rPr>
          <w:i/>
        </w:rPr>
        <w:t>Note</w:t>
      </w:r>
      <w:r w:rsidR="00F46384" w:rsidRPr="00BA612C">
        <w:rPr>
          <w:i/>
        </w:rPr>
        <w:t>:</w:t>
      </w:r>
    </w:p>
    <w:p w14:paraId="1ECB6415" w14:textId="15B6A4C9" w:rsidR="00AA6745" w:rsidRPr="00BA612C" w:rsidRDefault="00AA6745" w:rsidP="002723EC">
      <w:pPr>
        <w:pStyle w:val="BodyText"/>
        <w:spacing w:after="0"/>
        <w:rPr>
          <w:i/>
        </w:rPr>
      </w:pPr>
      <w:r w:rsidRPr="00BA612C">
        <w:rPr>
          <w:i/>
        </w:rPr>
        <w:t xml:space="preserve">The </w:t>
      </w:r>
      <w:r w:rsidR="00141174" w:rsidRPr="00BA612C">
        <w:rPr>
          <w:i/>
        </w:rPr>
        <w:t>statistics</w:t>
      </w:r>
      <w:r w:rsidRPr="00BA612C">
        <w:rPr>
          <w:i/>
        </w:rPr>
        <w:t xml:space="preserve"> provided </w:t>
      </w:r>
      <w:r w:rsidR="00D70FF0" w:rsidRPr="00BA612C">
        <w:rPr>
          <w:i/>
        </w:rPr>
        <w:t xml:space="preserve">in October </w:t>
      </w:r>
      <w:r w:rsidR="00703040" w:rsidRPr="00BA612C">
        <w:rPr>
          <w:i/>
        </w:rPr>
        <w:t>2016</w:t>
      </w:r>
      <w:r w:rsidRPr="00BA612C">
        <w:rPr>
          <w:i/>
        </w:rPr>
        <w:t xml:space="preserve"> </w:t>
      </w:r>
      <w:r w:rsidR="00141174" w:rsidRPr="00BA612C">
        <w:rPr>
          <w:i/>
        </w:rPr>
        <w:t>are</w:t>
      </w:r>
      <w:r w:rsidRPr="00BA612C">
        <w:rPr>
          <w:i/>
        </w:rPr>
        <w:t xml:space="preserve"> </w:t>
      </w:r>
      <w:r w:rsidR="00141174" w:rsidRPr="00BA612C">
        <w:rPr>
          <w:i/>
        </w:rPr>
        <w:t>based on</w:t>
      </w:r>
      <w:r w:rsidR="00703040" w:rsidRPr="00BA612C">
        <w:rPr>
          <w:i/>
        </w:rPr>
        <w:t xml:space="preserve"> the EU-SILC 2014</w:t>
      </w:r>
      <w:r w:rsidRPr="00BA612C">
        <w:rPr>
          <w:i/>
        </w:rPr>
        <w:t xml:space="preserve">. </w:t>
      </w:r>
      <w:r w:rsidR="00C83D53" w:rsidRPr="00BA612C">
        <w:rPr>
          <w:i/>
        </w:rPr>
        <w:t xml:space="preserve">This </w:t>
      </w:r>
      <w:r w:rsidR="00421E28" w:rsidRPr="00BA612C">
        <w:rPr>
          <w:i/>
        </w:rPr>
        <w:t>is</w:t>
      </w:r>
      <w:r w:rsidR="00C83D53" w:rsidRPr="00BA612C">
        <w:rPr>
          <w:i/>
        </w:rPr>
        <w:t xml:space="preserve"> the most recent </w:t>
      </w:r>
      <w:r w:rsidR="00141174" w:rsidRPr="00BA612C">
        <w:rPr>
          <w:i/>
        </w:rPr>
        <w:t>micro</w:t>
      </w:r>
      <w:r w:rsidR="00C83D53" w:rsidRPr="00BA612C">
        <w:rPr>
          <w:i/>
        </w:rPr>
        <w:t xml:space="preserve">data available </w:t>
      </w:r>
      <w:r w:rsidR="00141174" w:rsidRPr="00BA612C">
        <w:rPr>
          <w:i/>
        </w:rPr>
        <w:t xml:space="preserve">to researchers </w:t>
      </w:r>
      <w:r w:rsidR="00C83D53" w:rsidRPr="00BA612C">
        <w:rPr>
          <w:i/>
        </w:rPr>
        <w:t>for analysis</w:t>
      </w:r>
      <w:r w:rsidR="00421E28" w:rsidRPr="00BA612C">
        <w:rPr>
          <w:i/>
        </w:rPr>
        <w:t xml:space="preserve"> from Eurostat</w:t>
      </w:r>
      <w:r w:rsidR="00C83D53" w:rsidRPr="00BA612C">
        <w:rPr>
          <w:i/>
        </w:rPr>
        <w:t xml:space="preserve">. </w:t>
      </w:r>
      <w:r w:rsidR="00C7318C" w:rsidRPr="00BA612C">
        <w:rPr>
          <w:i/>
        </w:rPr>
        <w:t xml:space="preserve">This report may be updated </w:t>
      </w:r>
      <w:r w:rsidR="00995463" w:rsidRPr="00BA612C">
        <w:rPr>
          <w:i/>
        </w:rPr>
        <w:t>as</w:t>
      </w:r>
      <w:r w:rsidR="00C7318C" w:rsidRPr="00BA612C">
        <w:rPr>
          <w:i/>
        </w:rPr>
        <w:t xml:space="preserve"> </w:t>
      </w:r>
      <w:r w:rsidR="00D70FF0" w:rsidRPr="00BA612C">
        <w:rPr>
          <w:i/>
        </w:rPr>
        <w:t xml:space="preserve">new data </w:t>
      </w:r>
      <w:r w:rsidRPr="00BA612C">
        <w:rPr>
          <w:i/>
        </w:rPr>
        <w:t>become</w:t>
      </w:r>
      <w:r w:rsidR="00C7318C" w:rsidRPr="00BA612C">
        <w:rPr>
          <w:i/>
        </w:rPr>
        <w:t>s</w:t>
      </w:r>
      <w:r w:rsidRPr="00BA612C">
        <w:rPr>
          <w:i/>
        </w:rPr>
        <w:t xml:space="preserve"> available.</w:t>
      </w:r>
    </w:p>
    <w:p w14:paraId="2A447067" w14:textId="77777777" w:rsidR="0065380E" w:rsidRPr="00BA612C" w:rsidRDefault="0065380E" w:rsidP="002723EC"/>
    <w:p w14:paraId="1792EBB3" w14:textId="3FF1D096" w:rsidR="0065380E" w:rsidRPr="00BA612C" w:rsidRDefault="0065380E" w:rsidP="002723EC"/>
    <w:p w14:paraId="420351C5" w14:textId="10D8FF97" w:rsidR="0065380E" w:rsidRPr="00BA612C" w:rsidRDefault="0065380E" w:rsidP="002723EC"/>
    <w:p w14:paraId="7BCE6EC2" w14:textId="6913B4F5" w:rsidR="003E7EC1" w:rsidRPr="00BA612C" w:rsidRDefault="008D759A" w:rsidP="008D759A">
      <w:pPr>
        <w:ind w:firstLine="720"/>
        <w:jc w:val="right"/>
      </w:pPr>
      <w:r>
        <w:rPr>
          <w:noProof/>
          <w:lang w:val="nl-NL" w:eastAsia="nl-NL"/>
        </w:rPr>
        <w:drawing>
          <wp:anchor distT="0" distB="0" distL="114300" distR="114300" simplePos="0" relativeHeight="251657216" behindDoc="0" locked="0" layoutInCell="1" allowOverlap="1" wp14:anchorId="0858848C" wp14:editId="27C02928">
            <wp:simplePos x="0" y="0"/>
            <wp:positionH relativeFrom="column">
              <wp:posOffset>23495</wp:posOffset>
            </wp:positionH>
            <wp:positionV relativeFrom="paragraph">
              <wp:posOffset>175895</wp:posOffset>
            </wp:positionV>
            <wp:extent cx="910590" cy="514350"/>
            <wp:effectExtent l="0" t="0" r="381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2017.jpg"/>
                    <pic:cNvPicPr/>
                  </pic:nvPicPr>
                  <pic:blipFill>
                    <a:blip r:embed="rId10"/>
                    <a:stretch>
                      <a:fillRect/>
                    </a:stretch>
                  </pic:blipFill>
                  <pic:spPr>
                    <a:xfrm>
                      <a:off x="0" y="0"/>
                      <a:ext cx="910590" cy="514350"/>
                    </a:xfrm>
                    <a:prstGeom prst="rect">
                      <a:avLst/>
                    </a:prstGeom>
                  </pic:spPr>
                </pic:pic>
              </a:graphicData>
            </a:graphic>
          </wp:anchor>
        </w:drawing>
      </w:r>
      <w:r w:rsidR="0065380E" w:rsidRPr="00BA612C">
        <w:tab/>
      </w:r>
      <w:r w:rsidR="0065380E" w:rsidRPr="00BA612C">
        <w:tab/>
      </w:r>
      <w:r w:rsidR="0065380E" w:rsidRPr="00BA612C">
        <w:tab/>
      </w:r>
      <w:r w:rsidR="0065380E" w:rsidRPr="00BA612C">
        <w:tab/>
      </w:r>
      <w:r w:rsidR="0065380E" w:rsidRPr="00BA612C">
        <w:tab/>
      </w:r>
      <w:r w:rsidR="0065380E" w:rsidRPr="00BA612C">
        <w:tab/>
      </w:r>
      <w:r w:rsidR="0065380E" w:rsidRPr="00BA612C">
        <w:tab/>
      </w:r>
      <w:r w:rsidRPr="00BA612C">
        <w:rPr>
          <w:noProof/>
          <w:lang w:val="nl-NL" w:eastAsia="nl-NL"/>
        </w:rPr>
        <w:drawing>
          <wp:inline distT="0" distB="0" distL="0" distR="0" wp14:anchorId="0D48B5AE" wp14:editId="396E86A3">
            <wp:extent cx="1429200" cy="60120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eeds.jpg"/>
                    <pic:cNvPicPr/>
                  </pic:nvPicPr>
                  <pic:blipFill>
                    <a:blip r:embed="rId11">
                      <a:extLst>
                        <a:ext uri="{28A0092B-C50C-407E-A947-70E740481C1C}">
                          <a14:useLocalDpi xmlns:a14="http://schemas.microsoft.com/office/drawing/2010/main" val="0"/>
                        </a:ext>
                      </a:extLst>
                    </a:blip>
                    <a:stretch>
                      <a:fillRect/>
                    </a:stretch>
                  </pic:blipFill>
                  <pic:spPr>
                    <a:xfrm>
                      <a:off x="0" y="0"/>
                      <a:ext cx="1429200" cy="601200"/>
                    </a:xfrm>
                    <a:prstGeom prst="rect">
                      <a:avLst/>
                    </a:prstGeom>
                  </pic:spPr>
                </pic:pic>
              </a:graphicData>
            </a:graphic>
          </wp:inline>
        </w:drawing>
      </w:r>
      <w:r w:rsidR="0065380E" w:rsidRPr="00BA612C">
        <w:t xml:space="preserve"> </w:t>
      </w:r>
    </w:p>
    <w:p w14:paraId="78030045" w14:textId="77777777" w:rsidR="003E7EC1" w:rsidRPr="00BA612C" w:rsidRDefault="003E7EC1" w:rsidP="002723EC">
      <w:r w:rsidRPr="00BA612C">
        <w:br w:type="page"/>
      </w:r>
    </w:p>
    <w:p w14:paraId="7C8FC79C" w14:textId="6BF02D4A" w:rsidR="00CF4321" w:rsidRPr="00BA612C" w:rsidRDefault="0001019B" w:rsidP="002723EC">
      <w:pPr>
        <w:rPr>
          <w:b/>
        </w:rPr>
      </w:pPr>
      <w:r w:rsidRPr="00BA612C">
        <w:rPr>
          <w:b/>
        </w:rPr>
        <w:lastRenderedPageBreak/>
        <w:t>C</w:t>
      </w:r>
      <w:r w:rsidR="00CF4321" w:rsidRPr="00BA612C">
        <w:rPr>
          <w:b/>
        </w:rPr>
        <w:t>ontent</w:t>
      </w:r>
      <w:r w:rsidR="0047358E" w:rsidRPr="00BA612C">
        <w:rPr>
          <w:b/>
        </w:rPr>
        <w:t>s</w:t>
      </w:r>
    </w:p>
    <w:p w14:paraId="739BA300" w14:textId="77777777" w:rsidR="00CF4321" w:rsidRPr="00BA612C" w:rsidRDefault="00CF4321" w:rsidP="002723EC"/>
    <w:p w14:paraId="7C416BED" w14:textId="7E20AF5A" w:rsidR="00C70C9C" w:rsidRDefault="00CB6FED">
      <w:pPr>
        <w:pStyle w:val="TOC1"/>
        <w:tabs>
          <w:tab w:val="right" w:leader="dot" w:pos="9060"/>
        </w:tabs>
        <w:rPr>
          <w:rFonts w:asciiTheme="minorHAnsi" w:eastAsiaTheme="minorEastAsia" w:hAnsiTheme="minorHAnsi" w:cstheme="minorBidi"/>
          <w:noProof/>
          <w:sz w:val="22"/>
          <w:szCs w:val="22"/>
          <w:lang w:val="nl-NL" w:eastAsia="nl-NL"/>
        </w:rPr>
      </w:pPr>
      <w:r w:rsidRPr="00BA612C">
        <w:fldChar w:fldCharType="begin"/>
      </w:r>
      <w:r w:rsidRPr="00BA612C">
        <w:instrText xml:space="preserve"> TOC \o "1-3" \h \z \u </w:instrText>
      </w:r>
      <w:r w:rsidRPr="00BA612C">
        <w:fldChar w:fldCharType="separate"/>
      </w:r>
      <w:hyperlink w:anchor="_Toc483400165" w:history="1">
        <w:r w:rsidR="00C70C9C" w:rsidRPr="00502DED">
          <w:rPr>
            <w:rStyle w:val="Hyperlink"/>
            <w:noProof/>
          </w:rPr>
          <w:t>1</w:t>
        </w:r>
        <w:r w:rsidR="00C70C9C">
          <w:rPr>
            <w:rFonts w:asciiTheme="minorHAnsi" w:eastAsiaTheme="minorEastAsia" w:hAnsiTheme="minorHAnsi" w:cstheme="minorBidi"/>
            <w:noProof/>
            <w:sz w:val="22"/>
            <w:szCs w:val="22"/>
            <w:lang w:val="nl-NL" w:eastAsia="nl-NL"/>
          </w:rPr>
          <w:tab/>
        </w:r>
        <w:r w:rsidR="00C70C9C" w:rsidRPr="00502DED">
          <w:rPr>
            <w:rStyle w:val="Hyperlink"/>
            <w:noProof/>
          </w:rPr>
          <w:t>Summary of the overall situation and challenges</w:t>
        </w:r>
        <w:r w:rsidR="00C70C9C">
          <w:rPr>
            <w:noProof/>
            <w:webHidden/>
          </w:rPr>
          <w:tab/>
        </w:r>
        <w:r w:rsidR="00C70C9C">
          <w:rPr>
            <w:noProof/>
            <w:webHidden/>
          </w:rPr>
          <w:fldChar w:fldCharType="begin"/>
        </w:r>
        <w:r w:rsidR="00C70C9C">
          <w:rPr>
            <w:noProof/>
            <w:webHidden/>
          </w:rPr>
          <w:instrText xml:space="preserve"> PAGEREF _Toc483400165 \h </w:instrText>
        </w:r>
        <w:r w:rsidR="00C70C9C">
          <w:rPr>
            <w:noProof/>
            <w:webHidden/>
          </w:rPr>
        </w:r>
        <w:r w:rsidR="00C70C9C">
          <w:rPr>
            <w:noProof/>
            <w:webHidden/>
          </w:rPr>
          <w:fldChar w:fldCharType="separate"/>
        </w:r>
        <w:r w:rsidR="00C70C9C">
          <w:rPr>
            <w:noProof/>
            <w:webHidden/>
          </w:rPr>
          <w:t>2</w:t>
        </w:r>
        <w:r w:rsidR="00C70C9C">
          <w:rPr>
            <w:noProof/>
            <w:webHidden/>
          </w:rPr>
          <w:fldChar w:fldCharType="end"/>
        </w:r>
      </w:hyperlink>
    </w:p>
    <w:p w14:paraId="74D66120" w14:textId="5B6C9E22" w:rsidR="00C70C9C" w:rsidRDefault="0075476E">
      <w:pPr>
        <w:pStyle w:val="TOC1"/>
        <w:tabs>
          <w:tab w:val="right" w:leader="dot" w:pos="9060"/>
        </w:tabs>
        <w:rPr>
          <w:rFonts w:asciiTheme="minorHAnsi" w:eastAsiaTheme="minorEastAsia" w:hAnsiTheme="minorHAnsi" w:cstheme="minorBidi"/>
          <w:noProof/>
          <w:sz w:val="22"/>
          <w:szCs w:val="22"/>
          <w:lang w:val="nl-NL" w:eastAsia="nl-NL"/>
        </w:rPr>
      </w:pPr>
      <w:hyperlink w:anchor="_Toc483400166" w:history="1">
        <w:r w:rsidR="00C70C9C" w:rsidRPr="00502DED">
          <w:rPr>
            <w:rStyle w:val="Hyperlink"/>
            <w:noProof/>
          </w:rPr>
          <w:t>2</w:t>
        </w:r>
        <w:r w:rsidR="00C70C9C">
          <w:rPr>
            <w:rFonts w:asciiTheme="minorHAnsi" w:eastAsiaTheme="minorEastAsia" w:hAnsiTheme="minorHAnsi" w:cstheme="minorBidi"/>
            <w:noProof/>
            <w:sz w:val="22"/>
            <w:szCs w:val="22"/>
            <w:lang w:val="nl-NL" w:eastAsia="nl-NL"/>
          </w:rPr>
          <w:tab/>
        </w:r>
        <w:r w:rsidR="00C70C9C" w:rsidRPr="00502DED">
          <w:rPr>
            <w:rStyle w:val="Hyperlink"/>
            <w:noProof/>
          </w:rPr>
          <w:t>Assessment of the situation of disabled people with respect to the Europe 2020 headline targets</w:t>
        </w:r>
        <w:r w:rsidR="00C70C9C">
          <w:rPr>
            <w:noProof/>
            <w:webHidden/>
          </w:rPr>
          <w:tab/>
        </w:r>
        <w:r w:rsidR="00C70C9C">
          <w:rPr>
            <w:noProof/>
            <w:webHidden/>
          </w:rPr>
          <w:fldChar w:fldCharType="begin"/>
        </w:r>
        <w:r w:rsidR="00C70C9C">
          <w:rPr>
            <w:noProof/>
            <w:webHidden/>
          </w:rPr>
          <w:instrText xml:space="preserve"> PAGEREF _Toc483400166 \h </w:instrText>
        </w:r>
        <w:r w:rsidR="00C70C9C">
          <w:rPr>
            <w:noProof/>
            <w:webHidden/>
          </w:rPr>
        </w:r>
        <w:r w:rsidR="00C70C9C">
          <w:rPr>
            <w:noProof/>
            <w:webHidden/>
          </w:rPr>
          <w:fldChar w:fldCharType="separate"/>
        </w:r>
        <w:r w:rsidR="00C70C9C">
          <w:rPr>
            <w:noProof/>
            <w:webHidden/>
          </w:rPr>
          <w:t>4</w:t>
        </w:r>
        <w:r w:rsidR="00C70C9C">
          <w:rPr>
            <w:noProof/>
            <w:webHidden/>
          </w:rPr>
          <w:fldChar w:fldCharType="end"/>
        </w:r>
      </w:hyperlink>
    </w:p>
    <w:p w14:paraId="5F58F68B" w14:textId="1132B95B" w:rsidR="00C70C9C" w:rsidRDefault="0075476E">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83400167" w:history="1">
        <w:r w:rsidR="00C70C9C" w:rsidRPr="00502DED">
          <w:rPr>
            <w:rStyle w:val="Hyperlink"/>
            <w:noProof/>
          </w:rPr>
          <w:t>2.1</w:t>
        </w:r>
        <w:r w:rsidR="00C70C9C">
          <w:rPr>
            <w:rFonts w:asciiTheme="minorHAnsi" w:eastAsiaTheme="minorEastAsia" w:hAnsiTheme="minorHAnsi" w:cstheme="minorBidi"/>
            <w:noProof/>
            <w:sz w:val="22"/>
            <w:szCs w:val="22"/>
            <w:lang w:val="nl-NL" w:eastAsia="nl-NL"/>
          </w:rPr>
          <w:tab/>
        </w:r>
        <w:r w:rsidR="00C70C9C" w:rsidRPr="00502DED">
          <w:rPr>
            <w:rStyle w:val="Hyperlink"/>
            <w:noProof/>
          </w:rPr>
          <w:t>Strategic targets</w:t>
        </w:r>
        <w:r w:rsidR="00C70C9C">
          <w:rPr>
            <w:noProof/>
            <w:webHidden/>
          </w:rPr>
          <w:tab/>
        </w:r>
        <w:r w:rsidR="00C70C9C">
          <w:rPr>
            <w:noProof/>
            <w:webHidden/>
          </w:rPr>
          <w:fldChar w:fldCharType="begin"/>
        </w:r>
        <w:r w:rsidR="00C70C9C">
          <w:rPr>
            <w:noProof/>
            <w:webHidden/>
          </w:rPr>
          <w:instrText xml:space="preserve"> PAGEREF _Toc483400167 \h </w:instrText>
        </w:r>
        <w:r w:rsidR="00C70C9C">
          <w:rPr>
            <w:noProof/>
            <w:webHidden/>
          </w:rPr>
        </w:r>
        <w:r w:rsidR="00C70C9C">
          <w:rPr>
            <w:noProof/>
            <w:webHidden/>
          </w:rPr>
          <w:fldChar w:fldCharType="separate"/>
        </w:r>
        <w:r w:rsidR="00C70C9C">
          <w:rPr>
            <w:noProof/>
            <w:webHidden/>
          </w:rPr>
          <w:t>4</w:t>
        </w:r>
        <w:r w:rsidR="00C70C9C">
          <w:rPr>
            <w:noProof/>
            <w:webHidden/>
          </w:rPr>
          <w:fldChar w:fldCharType="end"/>
        </w:r>
      </w:hyperlink>
    </w:p>
    <w:p w14:paraId="72F71E51" w14:textId="7E449699" w:rsidR="00C70C9C" w:rsidRDefault="0075476E">
      <w:pPr>
        <w:pStyle w:val="TOC3"/>
        <w:tabs>
          <w:tab w:val="left" w:pos="1985"/>
          <w:tab w:val="right" w:leader="dot" w:pos="9060"/>
        </w:tabs>
        <w:rPr>
          <w:rFonts w:asciiTheme="minorHAnsi" w:eastAsiaTheme="minorEastAsia" w:hAnsiTheme="minorHAnsi" w:cstheme="minorBidi"/>
          <w:noProof/>
          <w:sz w:val="22"/>
          <w:szCs w:val="22"/>
          <w:lang w:val="nl-NL" w:eastAsia="nl-NL"/>
        </w:rPr>
      </w:pPr>
      <w:hyperlink w:anchor="_Toc483400168" w:history="1">
        <w:r w:rsidR="00C70C9C" w:rsidRPr="00502DED">
          <w:rPr>
            <w:rStyle w:val="Hyperlink"/>
            <w:noProof/>
          </w:rPr>
          <w:t>2.1.1</w:t>
        </w:r>
        <w:r w:rsidR="00C70C9C">
          <w:rPr>
            <w:rFonts w:asciiTheme="minorHAnsi" w:eastAsiaTheme="minorEastAsia" w:hAnsiTheme="minorHAnsi" w:cstheme="minorBidi"/>
            <w:noProof/>
            <w:sz w:val="22"/>
            <w:szCs w:val="22"/>
            <w:lang w:val="nl-NL" w:eastAsia="nl-NL"/>
          </w:rPr>
          <w:tab/>
        </w:r>
        <w:r w:rsidR="00C70C9C" w:rsidRPr="00502DED">
          <w:rPr>
            <w:rStyle w:val="Hyperlink"/>
            <w:noProof/>
          </w:rPr>
          <w:t>A note on the use of EU data</w:t>
        </w:r>
        <w:r w:rsidR="00C70C9C">
          <w:rPr>
            <w:noProof/>
            <w:webHidden/>
          </w:rPr>
          <w:tab/>
        </w:r>
        <w:r w:rsidR="00C70C9C">
          <w:rPr>
            <w:noProof/>
            <w:webHidden/>
          </w:rPr>
          <w:fldChar w:fldCharType="begin"/>
        </w:r>
        <w:r w:rsidR="00C70C9C">
          <w:rPr>
            <w:noProof/>
            <w:webHidden/>
          </w:rPr>
          <w:instrText xml:space="preserve"> PAGEREF _Toc483400168 \h </w:instrText>
        </w:r>
        <w:r w:rsidR="00C70C9C">
          <w:rPr>
            <w:noProof/>
            <w:webHidden/>
          </w:rPr>
        </w:r>
        <w:r w:rsidR="00C70C9C">
          <w:rPr>
            <w:noProof/>
            <w:webHidden/>
          </w:rPr>
          <w:fldChar w:fldCharType="separate"/>
        </w:r>
        <w:r w:rsidR="00C70C9C">
          <w:rPr>
            <w:noProof/>
            <w:webHidden/>
          </w:rPr>
          <w:t>6</w:t>
        </w:r>
        <w:r w:rsidR="00C70C9C">
          <w:rPr>
            <w:noProof/>
            <w:webHidden/>
          </w:rPr>
          <w:fldChar w:fldCharType="end"/>
        </w:r>
      </w:hyperlink>
    </w:p>
    <w:p w14:paraId="0D52F1E1" w14:textId="388CCC61" w:rsidR="00C70C9C" w:rsidRDefault="0075476E">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83400169" w:history="1">
        <w:r w:rsidR="00C70C9C" w:rsidRPr="00502DED">
          <w:rPr>
            <w:rStyle w:val="Hyperlink"/>
            <w:noProof/>
          </w:rPr>
          <w:t>2.2</w:t>
        </w:r>
        <w:r w:rsidR="00C70C9C">
          <w:rPr>
            <w:rFonts w:asciiTheme="minorHAnsi" w:eastAsiaTheme="minorEastAsia" w:hAnsiTheme="minorHAnsi" w:cstheme="minorBidi"/>
            <w:noProof/>
            <w:sz w:val="22"/>
            <w:szCs w:val="22"/>
            <w:lang w:val="nl-NL" w:eastAsia="nl-NL"/>
          </w:rPr>
          <w:tab/>
        </w:r>
        <w:r w:rsidR="00C70C9C" w:rsidRPr="00502DED">
          <w:rPr>
            <w:rStyle w:val="Hyperlink"/>
            <w:noProof/>
          </w:rPr>
          <w:t>Employment data</w:t>
        </w:r>
        <w:r w:rsidR="00C70C9C">
          <w:rPr>
            <w:noProof/>
            <w:webHidden/>
          </w:rPr>
          <w:tab/>
        </w:r>
        <w:r w:rsidR="00C70C9C">
          <w:rPr>
            <w:noProof/>
            <w:webHidden/>
          </w:rPr>
          <w:fldChar w:fldCharType="begin"/>
        </w:r>
        <w:r w:rsidR="00C70C9C">
          <w:rPr>
            <w:noProof/>
            <w:webHidden/>
          </w:rPr>
          <w:instrText xml:space="preserve"> PAGEREF _Toc483400169 \h </w:instrText>
        </w:r>
        <w:r w:rsidR="00C70C9C">
          <w:rPr>
            <w:noProof/>
            <w:webHidden/>
          </w:rPr>
        </w:r>
        <w:r w:rsidR="00C70C9C">
          <w:rPr>
            <w:noProof/>
            <w:webHidden/>
          </w:rPr>
          <w:fldChar w:fldCharType="separate"/>
        </w:r>
        <w:r w:rsidR="00C70C9C">
          <w:rPr>
            <w:noProof/>
            <w:webHidden/>
          </w:rPr>
          <w:t>7</w:t>
        </w:r>
        <w:r w:rsidR="00C70C9C">
          <w:rPr>
            <w:noProof/>
            <w:webHidden/>
          </w:rPr>
          <w:fldChar w:fldCharType="end"/>
        </w:r>
      </w:hyperlink>
    </w:p>
    <w:p w14:paraId="4216004E" w14:textId="0294932F" w:rsidR="00C70C9C" w:rsidRDefault="0075476E">
      <w:pPr>
        <w:pStyle w:val="TOC3"/>
        <w:tabs>
          <w:tab w:val="left" w:pos="1985"/>
          <w:tab w:val="right" w:leader="dot" w:pos="9060"/>
        </w:tabs>
        <w:rPr>
          <w:rFonts w:asciiTheme="minorHAnsi" w:eastAsiaTheme="minorEastAsia" w:hAnsiTheme="minorHAnsi" w:cstheme="minorBidi"/>
          <w:noProof/>
          <w:sz w:val="22"/>
          <w:szCs w:val="22"/>
          <w:lang w:val="nl-NL" w:eastAsia="nl-NL"/>
        </w:rPr>
      </w:pPr>
      <w:hyperlink w:anchor="_Toc483400170" w:history="1">
        <w:r w:rsidR="00C70C9C" w:rsidRPr="00502DED">
          <w:rPr>
            <w:rStyle w:val="Hyperlink"/>
            <w:noProof/>
          </w:rPr>
          <w:t>2.2.1</w:t>
        </w:r>
        <w:r w:rsidR="00C70C9C">
          <w:rPr>
            <w:rFonts w:asciiTheme="minorHAnsi" w:eastAsiaTheme="minorEastAsia" w:hAnsiTheme="minorHAnsi" w:cstheme="minorBidi"/>
            <w:noProof/>
            <w:sz w:val="22"/>
            <w:szCs w:val="22"/>
            <w:lang w:val="nl-NL" w:eastAsia="nl-NL"/>
          </w:rPr>
          <w:tab/>
        </w:r>
        <w:r w:rsidR="00C70C9C" w:rsidRPr="00502DED">
          <w:rPr>
            <w:rStyle w:val="Hyperlink"/>
            <w:noProof/>
          </w:rPr>
          <w:t>Unemployment</w:t>
        </w:r>
        <w:r w:rsidR="00C70C9C">
          <w:rPr>
            <w:noProof/>
            <w:webHidden/>
          </w:rPr>
          <w:tab/>
        </w:r>
        <w:r w:rsidR="00C70C9C">
          <w:rPr>
            <w:noProof/>
            <w:webHidden/>
          </w:rPr>
          <w:fldChar w:fldCharType="begin"/>
        </w:r>
        <w:r w:rsidR="00C70C9C">
          <w:rPr>
            <w:noProof/>
            <w:webHidden/>
          </w:rPr>
          <w:instrText xml:space="preserve"> PAGEREF _Toc483400170 \h </w:instrText>
        </w:r>
        <w:r w:rsidR="00C70C9C">
          <w:rPr>
            <w:noProof/>
            <w:webHidden/>
          </w:rPr>
        </w:r>
        <w:r w:rsidR="00C70C9C">
          <w:rPr>
            <w:noProof/>
            <w:webHidden/>
          </w:rPr>
          <w:fldChar w:fldCharType="separate"/>
        </w:r>
        <w:r w:rsidR="00C70C9C">
          <w:rPr>
            <w:noProof/>
            <w:webHidden/>
          </w:rPr>
          <w:t>9</w:t>
        </w:r>
        <w:r w:rsidR="00C70C9C">
          <w:rPr>
            <w:noProof/>
            <w:webHidden/>
          </w:rPr>
          <w:fldChar w:fldCharType="end"/>
        </w:r>
      </w:hyperlink>
    </w:p>
    <w:p w14:paraId="611699AF" w14:textId="0328E29A" w:rsidR="00C70C9C" w:rsidRDefault="0075476E">
      <w:pPr>
        <w:pStyle w:val="TOC3"/>
        <w:tabs>
          <w:tab w:val="left" w:pos="1985"/>
          <w:tab w:val="right" w:leader="dot" w:pos="9060"/>
        </w:tabs>
        <w:rPr>
          <w:rFonts w:asciiTheme="minorHAnsi" w:eastAsiaTheme="minorEastAsia" w:hAnsiTheme="minorHAnsi" w:cstheme="minorBidi"/>
          <w:noProof/>
          <w:sz w:val="22"/>
          <w:szCs w:val="22"/>
          <w:lang w:val="nl-NL" w:eastAsia="nl-NL"/>
        </w:rPr>
      </w:pPr>
      <w:hyperlink w:anchor="_Toc483400171" w:history="1">
        <w:r w:rsidR="00C70C9C" w:rsidRPr="00502DED">
          <w:rPr>
            <w:rStyle w:val="Hyperlink"/>
            <w:noProof/>
          </w:rPr>
          <w:t>2.2.2</w:t>
        </w:r>
        <w:r w:rsidR="00C70C9C">
          <w:rPr>
            <w:rFonts w:asciiTheme="minorHAnsi" w:eastAsiaTheme="minorEastAsia" w:hAnsiTheme="minorHAnsi" w:cstheme="minorBidi"/>
            <w:noProof/>
            <w:sz w:val="22"/>
            <w:szCs w:val="22"/>
            <w:lang w:val="nl-NL" w:eastAsia="nl-NL"/>
          </w:rPr>
          <w:tab/>
        </w:r>
        <w:r w:rsidR="00C70C9C" w:rsidRPr="00502DED">
          <w:rPr>
            <w:rStyle w:val="Hyperlink"/>
            <w:noProof/>
          </w:rPr>
          <w:t>Economic activity</w:t>
        </w:r>
        <w:r w:rsidR="00C70C9C">
          <w:rPr>
            <w:noProof/>
            <w:webHidden/>
          </w:rPr>
          <w:tab/>
        </w:r>
        <w:r w:rsidR="00C70C9C">
          <w:rPr>
            <w:noProof/>
            <w:webHidden/>
          </w:rPr>
          <w:fldChar w:fldCharType="begin"/>
        </w:r>
        <w:r w:rsidR="00C70C9C">
          <w:rPr>
            <w:noProof/>
            <w:webHidden/>
          </w:rPr>
          <w:instrText xml:space="preserve"> PAGEREF _Toc483400171 \h </w:instrText>
        </w:r>
        <w:r w:rsidR="00C70C9C">
          <w:rPr>
            <w:noProof/>
            <w:webHidden/>
          </w:rPr>
        </w:r>
        <w:r w:rsidR="00C70C9C">
          <w:rPr>
            <w:noProof/>
            <w:webHidden/>
          </w:rPr>
          <w:fldChar w:fldCharType="separate"/>
        </w:r>
        <w:r w:rsidR="00C70C9C">
          <w:rPr>
            <w:noProof/>
            <w:webHidden/>
          </w:rPr>
          <w:t>13</w:t>
        </w:r>
        <w:r w:rsidR="00C70C9C">
          <w:rPr>
            <w:noProof/>
            <w:webHidden/>
          </w:rPr>
          <w:fldChar w:fldCharType="end"/>
        </w:r>
      </w:hyperlink>
    </w:p>
    <w:p w14:paraId="3B12B740" w14:textId="4C8818D3" w:rsidR="00C70C9C" w:rsidRDefault="0075476E">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83400172" w:history="1">
        <w:r w:rsidR="00C70C9C" w:rsidRPr="00502DED">
          <w:rPr>
            <w:rStyle w:val="Hyperlink"/>
            <w:noProof/>
          </w:rPr>
          <w:t>2.3</w:t>
        </w:r>
        <w:r w:rsidR="00C70C9C">
          <w:rPr>
            <w:rFonts w:asciiTheme="minorHAnsi" w:eastAsiaTheme="minorEastAsia" w:hAnsiTheme="minorHAnsi" w:cstheme="minorBidi"/>
            <w:noProof/>
            <w:sz w:val="22"/>
            <w:szCs w:val="22"/>
            <w:lang w:val="nl-NL" w:eastAsia="nl-NL"/>
          </w:rPr>
          <w:tab/>
        </w:r>
        <w:r w:rsidR="00C70C9C" w:rsidRPr="00502DED">
          <w:rPr>
            <w:rStyle w:val="Hyperlink"/>
            <w:noProof/>
          </w:rPr>
          <w:t>Education data</w:t>
        </w:r>
        <w:r w:rsidR="00C70C9C">
          <w:rPr>
            <w:noProof/>
            <w:webHidden/>
          </w:rPr>
          <w:tab/>
        </w:r>
        <w:r w:rsidR="00C70C9C">
          <w:rPr>
            <w:noProof/>
            <w:webHidden/>
          </w:rPr>
          <w:fldChar w:fldCharType="begin"/>
        </w:r>
        <w:r w:rsidR="00C70C9C">
          <w:rPr>
            <w:noProof/>
            <w:webHidden/>
          </w:rPr>
          <w:instrText xml:space="preserve"> PAGEREF _Toc483400172 \h </w:instrText>
        </w:r>
        <w:r w:rsidR="00C70C9C">
          <w:rPr>
            <w:noProof/>
            <w:webHidden/>
          </w:rPr>
        </w:r>
        <w:r w:rsidR="00C70C9C">
          <w:rPr>
            <w:noProof/>
            <w:webHidden/>
          </w:rPr>
          <w:fldChar w:fldCharType="separate"/>
        </w:r>
        <w:r w:rsidR="00C70C9C">
          <w:rPr>
            <w:noProof/>
            <w:webHidden/>
          </w:rPr>
          <w:t>15</w:t>
        </w:r>
        <w:r w:rsidR="00C70C9C">
          <w:rPr>
            <w:noProof/>
            <w:webHidden/>
          </w:rPr>
          <w:fldChar w:fldCharType="end"/>
        </w:r>
      </w:hyperlink>
    </w:p>
    <w:p w14:paraId="580CE292" w14:textId="68BC5713" w:rsidR="00C70C9C" w:rsidRDefault="0075476E">
      <w:pPr>
        <w:pStyle w:val="TOC3"/>
        <w:tabs>
          <w:tab w:val="left" w:pos="1985"/>
          <w:tab w:val="right" w:leader="dot" w:pos="9060"/>
        </w:tabs>
        <w:rPr>
          <w:rFonts w:asciiTheme="minorHAnsi" w:eastAsiaTheme="minorEastAsia" w:hAnsiTheme="minorHAnsi" w:cstheme="minorBidi"/>
          <w:noProof/>
          <w:sz w:val="22"/>
          <w:szCs w:val="22"/>
          <w:lang w:val="nl-NL" w:eastAsia="nl-NL"/>
        </w:rPr>
      </w:pPr>
      <w:hyperlink w:anchor="_Toc483400173" w:history="1">
        <w:r w:rsidR="00C70C9C" w:rsidRPr="00502DED">
          <w:rPr>
            <w:rStyle w:val="Hyperlink"/>
            <w:noProof/>
          </w:rPr>
          <w:t>2.3.1</w:t>
        </w:r>
        <w:r w:rsidR="00C70C9C">
          <w:rPr>
            <w:rFonts w:asciiTheme="minorHAnsi" w:eastAsiaTheme="minorEastAsia" w:hAnsiTheme="minorHAnsi" w:cstheme="minorBidi"/>
            <w:noProof/>
            <w:sz w:val="22"/>
            <w:szCs w:val="22"/>
            <w:lang w:val="nl-NL" w:eastAsia="nl-NL"/>
          </w:rPr>
          <w:tab/>
        </w:r>
        <w:r w:rsidR="00C70C9C" w:rsidRPr="00502DED">
          <w:rPr>
            <w:rStyle w:val="Hyperlink"/>
            <w:noProof/>
          </w:rPr>
          <w:t>Early school leavers</w:t>
        </w:r>
        <w:r w:rsidR="00C70C9C">
          <w:rPr>
            <w:noProof/>
            <w:webHidden/>
          </w:rPr>
          <w:tab/>
        </w:r>
        <w:r w:rsidR="00C70C9C">
          <w:rPr>
            <w:noProof/>
            <w:webHidden/>
          </w:rPr>
          <w:fldChar w:fldCharType="begin"/>
        </w:r>
        <w:r w:rsidR="00C70C9C">
          <w:rPr>
            <w:noProof/>
            <w:webHidden/>
          </w:rPr>
          <w:instrText xml:space="preserve"> PAGEREF _Toc483400173 \h </w:instrText>
        </w:r>
        <w:r w:rsidR="00C70C9C">
          <w:rPr>
            <w:noProof/>
            <w:webHidden/>
          </w:rPr>
        </w:r>
        <w:r w:rsidR="00C70C9C">
          <w:rPr>
            <w:noProof/>
            <w:webHidden/>
          </w:rPr>
          <w:fldChar w:fldCharType="separate"/>
        </w:r>
        <w:r w:rsidR="00C70C9C">
          <w:rPr>
            <w:noProof/>
            <w:webHidden/>
          </w:rPr>
          <w:t>15</w:t>
        </w:r>
        <w:r w:rsidR="00C70C9C">
          <w:rPr>
            <w:noProof/>
            <w:webHidden/>
          </w:rPr>
          <w:fldChar w:fldCharType="end"/>
        </w:r>
      </w:hyperlink>
    </w:p>
    <w:p w14:paraId="015CF075" w14:textId="2B06EFC8" w:rsidR="00C70C9C" w:rsidRDefault="0075476E">
      <w:pPr>
        <w:pStyle w:val="TOC3"/>
        <w:tabs>
          <w:tab w:val="left" w:pos="1985"/>
          <w:tab w:val="right" w:leader="dot" w:pos="9060"/>
        </w:tabs>
        <w:rPr>
          <w:rFonts w:asciiTheme="minorHAnsi" w:eastAsiaTheme="minorEastAsia" w:hAnsiTheme="minorHAnsi" w:cstheme="minorBidi"/>
          <w:noProof/>
          <w:sz w:val="22"/>
          <w:szCs w:val="22"/>
          <w:lang w:val="nl-NL" w:eastAsia="nl-NL"/>
        </w:rPr>
      </w:pPr>
      <w:hyperlink w:anchor="_Toc483400174" w:history="1">
        <w:r w:rsidR="00C70C9C" w:rsidRPr="00502DED">
          <w:rPr>
            <w:rStyle w:val="Hyperlink"/>
            <w:noProof/>
          </w:rPr>
          <w:t>2.3.2</w:t>
        </w:r>
        <w:r w:rsidR="00C70C9C">
          <w:rPr>
            <w:rFonts w:asciiTheme="minorHAnsi" w:eastAsiaTheme="minorEastAsia" w:hAnsiTheme="minorHAnsi" w:cstheme="minorBidi"/>
            <w:noProof/>
            <w:sz w:val="22"/>
            <w:szCs w:val="22"/>
            <w:lang w:val="nl-NL" w:eastAsia="nl-NL"/>
          </w:rPr>
          <w:tab/>
        </w:r>
        <w:r w:rsidR="00C70C9C" w:rsidRPr="00502DED">
          <w:rPr>
            <w:rStyle w:val="Hyperlink"/>
            <w:noProof/>
          </w:rPr>
          <w:t>Tertiary education</w:t>
        </w:r>
        <w:r w:rsidR="00C70C9C">
          <w:rPr>
            <w:noProof/>
            <w:webHidden/>
          </w:rPr>
          <w:tab/>
        </w:r>
        <w:r w:rsidR="00C70C9C">
          <w:rPr>
            <w:noProof/>
            <w:webHidden/>
          </w:rPr>
          <w:fldChar w:fldCharType="begin"/>
        </w:r>
        <w:r w:rsidR="00C70C9C">
          <w:rPr>
            <w:noProof/>
            <w:webHidden/>
          </w:rPr>
          <w:instrText xml:space="preserve"> PAGEREF _Toc483400174 \h </w:instrText>
        </w:r>
        <w:r w:rsidR="00C70C9C">
          <w:rPr>
            <w:noProof/>
            <w:webHidden/>
          </w:rPr>
        </w:r>
        <w:r w:rsidR="00C70C9C">
          <w:rPr>
            <w:noProof/>
            <w:webHidden/>
          </w:rPr>
          <w:fldChar w:fldCharType="separate"/>
        </w:r>
        <w:r w:rsidR="00C70C9C">
          <w:rPr>
            <w:noProof/>
            <w:webHidden/>
          </w:rPr>
          <w:t>16</w:t>
        </w:r>
        <w:r w:rsidR="00C70C9C">
          <w:rPr>
            <w:noProof/>
            <w:webHidden/>
          </w:rPr>
          <w:fldChar w:fldCharType="end"/>
        </w:r>
      </w:hyperlink>
    </w:p>
    <w:p w14:paraId="65815DD1" w14:textId="6D96AB48" w:rsidR="00C70C9C" w:rsidRDefault="0075476E">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83400175" w:history="1">
        <w:r w:rsidR="00C70C9C" w:rsidRPr="00502DED">
          <w:rPr>
            <w:rStyle w:val="Hyperlink"/>
            <w:noProof/>
          </w:rPr>
          <w:t>2.4</w:t>
        </w:r>
        <w:r w:rsidR="00C70C9C">
          <w:rPr>
            <w:rFonts w:asciiTheme="minorHAnsi" w:eastAsiaTheme="minorEastAsia" w:hAnsiTheme="minorHAnsi" w:cstheme="minorBidi"/>
            <w:noProof/>
            <w:sz w:val="22"/>
            <w:szCs w:val="22"/>
            <w:lang w:val="nl-NL" w:eastAsia="nl-NL"/>
          </w:rPr>
          <w:tab/>
        </w:r>
        <w:r w:rsidR="00C70C9C" w:rsidRPr="00502DED">
          <w:rPr>
            <w:rStyle w:val="Hyperlink"/>
            <w:noProof/>
          </w:rPr>
          <w:t>Poverty and social exclusion data</w:t>
        </w:r>
        <w:r w:rsidR="00C70C9C">
          <w:rPr>
            <w:noProof/>
            <w:webHidden/>
          </w:rPr>
          <w:tab/>
        </w:r>
        <w:r w:rsidR="00C70C9C">
          <w:rPr>
            <w:noProof/>
            <w:webHidden/>
          </w:rPr>
          <w:fldChar w:fldCharType="begin"/>
        </w:r>
        <w:r w:rsidR="00C70C9C">
          <w:rPr>
            <w:noProof/>
            <w:webHidden/>
          </w:rPr>
          <w:instrText xml:space="preserve"> PAGEREF _Toc483400175 \h </w:instrText>
        </w:r>
        <w:r w:rsidR="00C70C9C">
          <w:rPr>
            <w:noProof/>
            <w:webHidden/>
          </w:rPr>
        </w:r>
        <w:r w:rsidR="00C70C9C">
          <w:rPr>
            <w:noProof/>
            <w:webHidden/>
          </w:rPr>
          <w:fldChar w:fldCharType="separate"/>
        </w:r>
        <w:r w:rsidR="00C70C9C">
          <w:rPr>
            <w:noProof/>
            <w:webHidden/>
          </w:rPr>
          <w:t>19</w:t>
        </w:r>
        <w:r w:rsidR="00C70C9C">
          <w:rPr>
            <w:noProof/>
            <w:webHidden/>
          </w:rPr>
          <w:fldChar w:fldCharType="end"/>
        </w:r>
      </w:hyperlink>
    </w:p>
    <w:p w14:paraId="2EF9064D" w14:textId="49ED818E" w:rsidR="00C70C9C" w:rsidRDefault="0075476E">
      <w:pPr>
        <w:pStyle w:val="TOC1"/>
        <w:tabs>
          <w:tab w:val="right" w:leader="dot" w:pos="9060"/>
        </w:tabs>
        <w:rPr>
          <w:rFonts w:asciiTheme="minorHAnsi" w:eastAsiaTheme="minorEastAsia" w:hAnsiTheme="minorHAnsi" w:cstheme="minorBidi"/>
          <w:noProof/>
          <w:sz w:val="22"/>
          <w:szCs w:val="22"/>
          <w:lang w:val="nl-NL" w:eastAsia="nl-NL"/>
        </w:rPr>
      </w:pPr>
      <w:hyperlink w:anchor="_Toc483400176" w:history="1">
        <w:r w:rsidR="00C70C9C" w:rsidRPr="00502DED">
          <w:rPr>
            <w:rStyle w:val="Hyperlink"/>
            <w:noProof/>
          </w:rPr>
          <w:t>3</w:t>
        </w:r>
        <w:r w:rsidR="00C70C9C">
          <w:rPr>
            <w:rFonts w:asciiTheme="minorHAnsi" w:eastAsiaTheme="minorEastAsia" w:hAnsiTheme="minorHAnsi" w:cstheme="minorBidi"/>
            <w:noProof/>
            <w:sz w:val="22"/>
            <w:szCs w:val="22"/>
            <w:lang w:val="nl-NL" w:eastAsia="nl-NL"/>
          </w:rPr>
          <w:tab/>
        </w:r>
        <w:r w:rsidR="00C70C9C" w:rsidRPr="00502DED">
          <w:rPr>
            <w:rStyle w:val="Hyperlink"/>
            <w:noProof/>
          </w:rPr>
          <w:t>Description of the situation and trends in relation to each target area</w:t>
        </w:r>
        <w:r w:rsidR="00C70C9C">
          <w:rPr>
            <w:noProof/>
            <w:webHidden/>
          </w:rPr>
          <w:tab/>
        </w:r>
        <w:r w:rsidR="00C70C9C">
          <w:rPr>
            <w:noProof/>
            <w:webHidden/>
          </w:rPr>
          <w:fldChar w:fldCharType="begin"/>
        </w:r>
        <w:r w:rsidR="00C70C9C">
          <w:rPr>
            <w:noProof/>
            <w:webHidden/>
          </w:rPr>
          <w:instrText xml:space="preserve"> PAGEREF _Toc483400176 \h </w:instrText>
        </w:r>
        <w:r w:rsidR="00C70C9C">
          <w:rPr>
            <w:noProof/>
            <w:webHidden/>
          </w:rPr>
        </w:r>
        <w:r w:rsidR="00C70C9C">
          <w:rPr>
            <w:noProof/>
            <w:webHidden/>
          </w:rPr>
          <w:fldChar w:fldCharType="separate"/>
        </w:r>
        <w:r w:rsidR="00C70C9C">
          <w:rPr>
            <w:noProof/>
            <w:webHidden/>
          </w:rPr>
          <w:t>23</w:t>
        </w:r>
        <w:r w:rsidR="00C70C9C">
          <w:rPr>
            <w:noProof/>
            <w:webHidden/>
          </w:rPr>
          <w:fldChar w:fldCharType="end"/>
        </w:r>
      </w:hyperlink>
    </w:p>
    <w:p w14:paraId="22738214" w14:textId="6BFBAC94" w:rsidR="00C70C9C" w:rsidRDefault="0075476E">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83400177" w:history="1">
        <w:r w:rsidR="00C70C9C" w:rsidRPr="00502DED">
          <w:rPr>
            <w:rStyle w:val="Hyperlink"/>
            <w:noProof/>
          </w:rPr>
          <w:t>3.1</w:t>
        </w:r>
        <w:r w:rsidR="00C70C9C">
          <w:rPr>
            <w:rFonts w:asciiTheme="minorHAnsi" w:eastAsiaTheme="minorEastAsia" w:hAnsiTheme="minorHAnsi" w:cstheme="minorBidi"/>
            <w:noProof/>
            <w:sz w:val="22"/>
            <w:szCs w:val="22"/>
            <w:lang w:val="nl-NL" w:eastAsia="nl-NL"/>
          </w:rPr>
          <w:tab/>
        </w:r>
        <w:r w:rsidR="00C70C9C" w:rsidRPr="00502DED">
          <w:rPr>
            <w:rStyle w:val="Hyperlink"/>
            <w:noProof/>
          </w:rPr>
          <w:t>Employment</w:t>
        </w:r>
        <w:r w:rsidR="00C70C9C">
          <w:rPr>
            <w:noProof/>
            <w:webHidden/>
          </w:rPr>
          <w:tab/>
        </w:r>
        <w:r w:rsidR="00C70C9C">
          <w:rPr>
            <w:noProof/>
            <w:webHidden/>
          </w:rPr>
          <w:fldChar w:fldCharType="begin"/>
        </w:r>
        <w:r w:rsidR="00C70C9C">
          <w:rPr>
            <w:noProof/>
            <w:webHidden/>
          </w:rPr>
          <w:instrText xml:space="preserve"> PAGEREF _Toc483400177 \h </w:instrText>
        </w:r>
        <w:r w:rsidR="00C70C9C">
          <w:rPr>
            <w:noProof/>
            <w:webHidden/>
          </w:rPr>
        </w:r>
        <w:r w:rsidR="00C70C9C">
          <w:rPr>
            <w:noProof/>
            <w:webHidden/>
          </w:rPr>
          <w:fldChar w:fldCharType="separate"/>
        </w:r>
        <w:r w:rsidR="00C70C9C">
          <w:rPr>
            <w:noProof/>
            <w:webHidden/>
          </w:rPr>
          <w:t>23</w:t>
        </w:r>
        <w:r w:rsidR="00C70C9C">
          <w:rPr>
            <w:noProof/>
            <w:webHidden/>
          </w:rPr>
          <w:fldChar w:fldCharType="end"/>
        </w:r>
      </w:hyperlink>
    </w:p>
    <w:p w14:paraId="44520565" w14:textId="2080DFDB" w:rsidR="00C70C9C" w:rsidRDefault="0075476E">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83400178" w:history="1">
        <w:r w:rsidR="00C70C9C" w:rsidRPr="00502DED">
          <w:rPr>
            <w:rStyle w:val="Hyperlink"/>
            <w:noProof/>
          </w:rPr>
          <w:t>3.2</w:t>
        </w:r>
        <w:r w:rsidR="00C70C9C">
          <w:rPr>
            <w:rFonts w:asciiTheme="minorHAnsi" w:eastAsiaTheme="minorEastAsia" w:hAnsiTheme="minorHAnsi" w:cstheme="minorBidi"/>
            <w:noProof/>
            <w:sz w:val="22"/>
            <w:szCs w:val="22"/>
            <w:lang w:val="nl-NL" w:eastAsia="nl-NL"/>
          </w:rPr>
          <w:tab/>
        </w:r>
        <w:r w:rsidR="00C70C9C" w:rsidRPr="00502DED">
          <w:rPr>
            <w:rStyle w:val="Hyperlink"/>
            <w:noProof/>
          </w:rPr>
          <w:t>Education</w:t>
        </w:r>
        <w:r w:rsidR="00C70C9C">
          <w:rPr>
            <w:noProof/>
            <w:webHidden/>
          </w:rPr>
          <w:tab/>
        </w:r>
        <w:r w:rsidR="00C70C9C">
          <w:rPr>
            <w:noProof/>
            <w:webHidden/>
          </w:rPr>
          <w:fldChar w:fldCharType="begin"/>
        </w:r>
        <w:r w:rsidR="00C70C9C">
          <w:rPr>
            <w:noProof/>
            <w:webHidden/>
          </w:rPr>
          <w:instrText xml:space="preserve"> PAGEREF _Toc483400178 \h </w:instrText>
        </w:r>
        <w:r w:rsidR="00C70C9C">
          <w:rPr>
            <w:noProof/>
            <w:webHidden/>
          </w:rPr>
        </w:r>
        <w:r w:rsidR="00C70C9C">
          <w:rPr>
            <w:noProof/>
            <w:webHidden/>
          </w:rPr>
          <w:fldChar w:fldCharType="separate"/>
        </w:r>
        <w:r w:rsidR="00C70C9C">
          <w:rPr>
            <w:noProof/>
            <w:webHidden/>
          </w:rPr>
          <w:t>24</w:t>
        </w:r>
        <w:r w:rsidR="00C70C9C">
          <w:rPr>
            <w:noProof/>
            <w:webHidden/>
          </w:rPr>
          <w:fldChar w:fldCharType="end"/>
        </w:r>
      </w:hyperlink>
    </w:p>
    <w:p w14:paraId="19A5BC26" w14:textId="2E942729" w:rsidR="00C70C9C" w:rsidRDefault="0075476E">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83400179" w:history="1">
        <w:r w:rsidR="00C70C9C" w:rsidRPr="00502DED">
          <w:rPr>
            <w:rStyle w:val="Hyperlink"/>
            <w:noProof/>
          </w:rPr>
          <w:t>3.3</w:t>
        </w:r>
        <w:r w:rsidR="00C70C9C">
          <w:rPr>
            <w:rFonts w:asciiTheme="minorHAnsi" w:eastAsiaTheme="minorEastAsia" w:hAnsiTheme="minorHAnsi" w:cstheme="minorBidi"/>
            <w:noProof/>
            <w:sz w:val="22"/>
            <w:szCs w:val="22"/>
            <w:lang w:val="nl-NL" w:eastAsia="nl-NL"/>
          </w:rPr>
          <w:tab/>
        </w:r>
        <w:r w:rsidR="00C70C9C" w:rsidRPr="00502DED">
          <w:rPr>
            <w:rStyle w:val="Hyperlink"/>
            <w:noProof/>
          </w:rPr>
          <w:t>Poverty and social inclusion</w:t>
        </w:r>
        <w:r w:rsidR="00C70C9C">
          <w:rPr>
            <w:noProof/>
            <w:webHidden/>
          </w:rPr>
          <w:tab/>
        </w:r>
        <w:r w:rsidR="00C70C9C">
          <w:rPr>
            <w:noProof/>
            <w:webHidden/>
          </w:rPr>
          <w:fldChar w:fldCharType="begin"/>
        </w:r>
        <w:r w:rsidR="00C70C9C">
          <w:rPr>
            <w:noProof/>
            <w:webHidden/>
          </w:rPr>
          <w:instrText xml:space="preserve"> PAGEREF _Toc483400179 \h </w:instrText>
        </w:r>
        <w:r w:rsidR="00C70C9C">
          <w:rPr>
            <w:noProof/>
            <w:webHidden/>
          </w:rPr>
        </w:r>
        <w:r w:rsidR="00C70C9C">
          <w:rPr>
            <w:noProof/>
            <w:webHidden/>
          </w:rPr>
          <w:fldChar w:fldCharType="separate"/>
        </w:r>
        <w:r w:rsidR="00C70C9C">
          <w:rPr>
            <w:noProof/>
            <w:webHidden/>
          </w:rPr>
          <w:t>25</w:t>
        </w:r>
        <w:r w:rsidR="00C70C9C">
          <w:rPr>
            <w:noProof/>
            <w:webHidden/>
          </w:rPr>
          <w:fldChar w:fldCharType="end"/>
        </w:r>
      </w:hyperlink>
    </w:p>
    <w:p w14:paraId="062FCA16" w14:textId="58B1384D" w:rsidR="00C70C9C" w:rsidRDefault="0075476E">
      <w:pPr>
        <w:pStyle w:val="TOC1"/>
        <w:tabs>
          <w:tab w:val="right" w:leader="dot" w:pos="9060"/>
        </w:tabs>
        <w:rPr>
          <w:rFonts w:asciiTheme="minorHAnsi" w:eastAsiaTheme="minorEastAsia" w:hAnsiTheme="minorHAnsi" w:cstheme="minorBidi"/>
          <w:noProof/>
          <w:sz w:val="22"/>
          <w:szCs w:val="22"/>
          <w:lang w:val="nl-NL" w:eastAsia="nl-NL"/>
        </w:rPr>
      </w:pPr>
      <w:hyperlink w:anchor="_Toc483400180" w:history="1">
        <w:r w:rsidR="00C70C9C" w:rsidRPr="00502DED">
          <w:rPr>
            <w:rStyle w:val="Hyperlink"/>
            <w:noProof/>
            <w:lang w:eastAsia="en-GB"/>
          </w:rPr>
          <w:t>4</w:t>
        </w:r>
        <w:r w:rsidR="00C70C9C">
          <w:rPr>
            <w:rFonts w:asciiTheme="minorHAnsi" w:eastAsiaTheme="minorEastAsia" w:hAnsiTheme="minorHAnsi" w:cstheme="minorBidi"/>
            <w:noProof/>
            <w:sz w:val="22"/>
            <w:szCs w:val="22"/>
            <w:lang w:val="nl-NL" w:eastAsia="nl-NL"/>
          </w:rPr>
          <w:tab/>
        </w:r>
        <w:r w:rsidR="00C70C9C" w:rsidRPr="00502DED">
          <w:rPr>
            <w:rStyle w:val="Hyperlink"/>
            <w:noProof/>
            <w:lang w:eastAsia="en-GB"/>
          </w:rPr>
          <w:t>Assessment of policies in place to meet the relevant headline targets</w:t>
        </w:r>
        <w:r w:rsidR="00C70C9C">
          <w:rPr>
            <w:noProof/>
            <w:webHidden/>
          </w:rPr>
          <w:tab/>
        </w:r>
        <w:r w:rsidR="00C70C9C">
          <w:rPr>
            <w:noProof/>
            <w:webHidden/>
          </w:rPr>
          <w:fldChar w:fldCharType="begin"/>
        </w:r>
        <w:r w:rsidR="00C70C9C">
          <w:rPr>
            <w:noProof/>
            <w:webHidden/>
          </w:rPr>
          <w:instrText xml:space="preserve"> PAGEREF _Toc483400180 \h </w:instrText>
        </w:r>
        <w:r w:rsidR="00C70C9C">
          <w:rPr>
            <w:noProof/>
            <w:webHidden/>
          </w:rPr>
        </w:r>
        <w:r w:rsidR="00C70C9C">
          <w:rPr>
            <w:noProof/>
            <w:webHidden/>
          </w:rPr>
          <w:fldChar w:fldCharType="separate"/>
        </w:r>
        <w:r w:rsidR="00C70C9C">
          <w:rPr>
            <w:noProof/>
            <w:webHidden/>
          </w:rPr>
          <w:t>27</w:t>
        </w:r>
        <w:r w:rsidR="00C70C9C">
          <w:rPr>
            <w:noProof/>
            <w:webHidden/>
          </w:rPr>
          <w:fldChar w:fldCharType="end"/>
        </w:r>
      </w:hyperlink>
    </w:p>
    <w:p w14:paraId="72685E05" w14:textId="5A291644" w:rsidR="00C70C9C" w:rsidRDefault="0075476E">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83400181" w:history="1">
        <w:r w:rsidR="00C70C9C" w:rsidRPr="00502DED">
          <w:rPr>
            <w:rStyle w:val="Hyperlink"/>
            <w:noProof/>
          </w:rPr>
          <w:t>4.1</w:t>
        </w:r>
        <w:r w:rsidR="00C70C9C">
          <w:rPr>
            <w:rFonts w:asciiTheme="minorHAnsi" w:eastAsiaTheme="minorEastAsia" w:hAnsiTheme="minorHAnsi" w:cstheme="minorBidi"/>
            <w:noProof/>
            <w:sz w:val="22"/>
            <w:szCs w:val="22"/>
            <w:lang w:val="nl-NL" w:eastAsia="nl-NL"/>
          </w:rPr>
          <w:tab/>
        </w:r>
        <w:r w:rsidR="00C70C9C" w:rsidRPr="00502DED">
          <w:rPr>
            <w:rStyle w:val="Hyperlink"/>
            <w:noProof/>
          </w:rPr>
          <w:t>Employment</w:t>
        </w:r>
        <w:r w:rsidR="00C70C9C">
          <w:rPr>
            <w:noProof/>
            <w:webHidden/>
          </w:rPr>
          <w:tab/>
        </w:r>
        <w:r w:rsidR="00C70C9C">
          <w:rPr>
            <w:noProof/>
            <w:webHidden/>
          </w:rPr>
          <w:fldChar w:fldCharType="begin"/>
        </w:r>
        <w:r w:rsidR="00C70C9C">
          <w:rPr>
            <w:noProof/>
            <w:webHidden/>
          </w:rPr>
          <w:instrText xml:space="preserve"> PAGEREF _Toc483400181 \h </w:instrText>
        </w:r>
        <w:r w:rsidR="00C70C9C">
          <w:rPr>
            <w:noProof/>
            <w:webHidden/>
          </w:rPr>
        </w:r>
        <w:r w:rsidR="00C70C9C">
          <w:rPr>
            <w:noProof/>
            <w:webHidden/>
          </w:rPr>
          <w:fldChar w:fldCharType="separate"/>
        </w:r>
        <w:r w:rsidR="00C70C9C">
          <w:rPr>
            <w:noProof/>
            <w:webHidden/>
          </w:rPr>
          <w:t>27</w:t>
        </w:r>
        <w:r w:rsidR="00C70C9C">
          <w:rPr>
            <w:noProof/>
            <w:webHidden/>
          </w:rPr>
          <w:fldChar w:fldCharType="end"/>
        </w:r>
      </w:hyperlink>
    </w:p>
    <w:p w14:paraId="28EBD037" w14:textId="57D00EF4" w:rsidR="00C70C9C" w:rsidRDefault="0075476E">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83400182" w:history="1">
        <w:r w:rsidR="00C70C9C" w:rsidRPr="00502DED">
          <w:rPr>
            <w:rStyle w:val="Hyperlink"/>
            <w:noProof/>
          </w:rPr>
          <w:t>4.2</w:t>
        </w:r>
        <w:r w:rsidR="00C70C9C">
          <w:rPr>
            <w:rFonts w:asciiTheme="minorHAnsi" w:eastAsiaTheme="minorEastAsia" w:hAnsiTheme="minorHAnsi" w:cstheme="minorBidi"/>
            <w:noProof/>
            <w:sz w:val="22"/>
            <w:szCs w:val="22"/>
            <w:lang w:val="nl-NL" w:eastAsia="nl-NL"/>
          </w:rPr>
          <w:tab/>
        </w:r>
        <w:r w:rsidR="00C70C9C" w:rsidRPr="00502DED">
          <w:rPr>
            <w:rStyle w:val="Hyperlink"/>
            <w:noProof/>
          </w:rPr>
          <w:t>Education</w:t>
        </w:r>
        <w:r w:rsidR="00C70C9C">
          <w:rPr>
            <w:noProof/>
            <w:webHidden/>
          </w:rPr>
          <w:tab/>
        </w:r>
        <w:r w:rsidR="00C70C9C">
          <w:rPr>
            <w:noProof/>
            <w:webHidden/>
          </w:rPr>
          <w:fldChar w:fldCharType="begin"/>
        </w:r>
        <w:r w:rsidR="00C70C9C">
          <w:rPr>
            <w:noProof/>
            <w:webHidden/>
          </w:rPr>
          <w:instrText xml:space="preserve"> PAGEREF _Toc483400182 \h </w:instrText>
        </w:r>
        <w:r w:rsidR="00C70C9C">
          <w:rPr>
            <w:noProof/>
            <w:webHidden/>
          </w:rPr>
        </w:r>
        <w:r w:rsidR="00C70C9C">
          <w:rPr>
            <w:noProof/>
            <w:webHidden/>
          </w:rPr>
          <w:fldChar w:fldCharType="separate"/>
        </w:r>
        <w:r w:rsidR="00C70C9C">
          <w:rPr>
            <w:noProof/>
            <w:webHidden/>
          </w:rPr>
          <w:t>29</w:t>
        </w:r>
        <w:r w:rsidR="00C70C9C">
          <w:rPr>
            <w:noProof/>
            <w:webHidden/>
          </w:rPr>
          <w:fldChar w:fldCharType="end"/>
        </w:r>
      </w:hyperlink>
    </w:p>
    <w:p w14:paraId="799FA51E" w14:textId="79CA6EF5" w:rsidR="00C70C9C" w:rsidRDefault="0075476E">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83400183" w:history="1">
        <w:r w:rsidR="00C70C9C" w:rsidRPr="00502DED">
          <w:rPr>
            <w:rStyle w:val="Hyperlink"/>
            <w:noProof/>
          </w:rPr>
          <w:t>4.3</w:t>
        </w:r>
        <w:r w:rsidR="00C70C9C">
          <w:rPr>
            <w:rFonts w:asciiTheme="minorHAnsi" w:eastAsiaTheme="minorEastAsia" w:hAnsiTheme="minorHAnsi" w:cstheme="minorBidi"/>
            <w:noProof/>
            <w:sz w:val="22"/>
            <w:szCs w:val="22"/>
            <w:lang w:val="nl-NL" w:eastAsia="nl-NL"/>
          </w:rPr>
          <w:tab/>
        </w:r>
        <w:r w:rsidR="00C70C9C" w:rsidRPr="00502DED">
          <w:rPr>
            <w:rStyle w:val="Hyperlink"/>
            <w:noProof/>
          </w:rPr>
          <w:t>Poverty and social inclusion</w:t>
        </w:r>
        <w:r w:rsidR="00C70C9C">
          <w:rPr>
            <w:noProof/>
            <w:webHidden/>
          </w:rPr>
          <w:tab/>
        </w:r>
        <w:r w:rsidR="00C70C9C">
          <w:rPr>
            <w:noProof/>
            <w:webHidden/>
          </w:rPr>
          <w:fldChar w:fldCharType="begin"/>
        </w:r>
        <w:r w:rsidR="00C70C9C">
          <w:rPr>
            <w:noProof/>
            <w:webHidden/>
          </w:rPr>
          <w:instrText xml:space="preserve"> PAGEREF _Toc483400183 \h </w:instrText>
        </w:r>
        <w:r w:rsidR="00C70C9C">
          <w:rPr>
            <w:noProof/>
            <w:webHidden/>
          </w:rPr>
        </w:r>
        <w:r w:rsidR="00C70C9C">
          <w:rPr>
            <w:noProof/>
            <w:webHidden/>
          </w:rPr>
          <w:fldChar w:fldCharType="separate"/>
        </w:r>
        <w:r w:rsidR="00C70C9C">
          <w:rPr>
            <w:noProof/>
            <w:webHidden/>
          </w:rPr>
          <w:t>29</w:t>
        </w:r>
        <w:r w:rsidR="00C70C9C">
          <w:rPr>
            <w:noProof/>
            <w:webHidden/>
          </w:rPr>
          <w:fldChar w:fldCharType="end"/>
        </w:r>
      </w:hyperlink>
    </w:p>
    <w:p w14:paraId="7C8E799D" w14:textId="2A7D2F3D" w:rsidR="00C70C9C" w:rsidRDefault="0075476E">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83400184" w:history="1">
        <w:r w:rsidR="00C70C9C" w:rsidRPr="00502DED">
          <w:rPr>
            <w:rStyle w:val="Hyperlink"/>
            <w:noProof/>
            <w:lang w:eastAsia="en-GB"/>
          </w:rPr>
          <w:t>4.4</w:t>
        </w:r>
        <w:r w:rsidR="00C70C9C">
          <w:rPr>
            <w:rFonts w:asciiTheme="minorHAnsi" w:eastAsiaTheme="minorEastAsia" w:hAnsiTheme="minorHAnsi" w:cstheme="minorBidi"/>
            <w:noProof/>
            <w:sz w:val="22"/>
            <w:szCs w:val="22"/>
            <w:lang w:val="nl-NL" w:eastAsia="nl-NL"/>
          </w:rPr>
          <w:tab/>
        </w:r>
        <w:r w:rsidR="00C70C9C" w:rsidRPr="00502DED">
          <w:rPr>
            <w:rStyle w:val="Hyperlink"/>
            <w:noProof/>
            <w:lang w:eastAsia="en-GB"/>
          </w:rPr>
          <w:t>Synergies between developments in the different areas</w:t>
        </w:r>
        <w:r w:rsidR="00C70C9C">
          <w:rPr>
            <w:noProof/>
            <w:webHidden/>
          </w:rPr>
          <w:tab/>
        </w:r>
        <w:r w:rsidR="00C70C9C">
          <w:rPr>
            <w:noProof/>
            <w:webHidden/>
          </w:rPr>
          <w:fldChar w:fldCharType="begin"/>
        </w:r>
        <w:r w:rsidR="00C70C9C">
          <w:rPr>
            <w:noProof/>
            <w:webHidden/>
          </w:rPr>
          <w:instrText xml:space="preserve"> PAGEREF _Toc483400184 \h </w:instrText>
        </w:r>
        <w:r w:rsidR="00C70C9C">
          <w:rPr>
            <w:noProof/>
            <w:webHidden/>
          </w:rPr>
        </w:r>
        <w:r w:rsidR="00C70C9C">
          <w:rPr>
            <w:noProof/>
            <w:webHidden/>
          </w:rPr>
          <w:fldChar w:fldCharType="separate"/>
        </w:r>
        <w:r w:rsidR="00C70C9C">
          <w:rPr>
            <w:noProof/>
            <w:webHidden/>
          </w:rPr>
          <w:t>30</w:t>
        </w:r>
        <w:r w:rsidR="00C70C9C">
          <w:rPr>
            <w:noProof/>
            <w:webHidden/>
          </w:rPr>
          <w:fldChar w:fldCharType="end"/>
        </w:r>
      </w:hyperlink>
    </w:p>
    <w:p w14:paraId="00DC76D9" w14:textId="5CBA1E82" w:rsidR="00C70C9C" w:rsidRDefault="0075476E">
      <w:pPr>
        <w:pStyle w:val="TOC1"/>
        <w:tabs>
          <w:tab w:val="right" w:leader="dot" w:pos="9060"/>
        </w:tabs>
        <w:rPr>
          <w:rFonts w:asciiTheme="minorHAnsi" w:eastAsiaTheme="minorEastAsia" w:hAnsiTheme="minorHAnsi" w:cstheme="minorBidi"/>
          <w:noProof/>
          <w:sz w:val="22"/>
          <w:szCs w:val="22"/>
          <w:lang w:val="nl-NL" w:eastAsia="nl-NL"/>
        </w:rPr>
      </w:pPr>
      <w:hyperlink w:anchor="_Toc483400185" w:history="1">
        <w:r w:rsidR="00C70C9C" w:rsidRPr="00502DED">
          <w:rPr>
            <w:rStyle w:val="Hyperlink"/>
            <w:noProof/>
            <w:lang w:eastAsia="en-GB"/>
          </w:rPr>
          <w:t>5</w:t>
        </w:r>
        <w:r w:rsidR="00C70C9C">
          <w:rPr>
            <w:rFonts w:asciiTheme="minorHAnsi" w:eastAsiaTheme="minorEastAsia" w:hAnsiTheme="minorHAnsi" w:cstheme="minorBidi"/>
            <w:noProof/>
            <w:sz w:val="22"/>
            <w:szCs w:val="22"/>
            <w:lang w:val="nl-NL" w:eastAsia="nl-NL"/>
          </w:rPr>
          <w:tab/>
        </w:r>
        <w:r w:rsidR="00C70C9C" w:rsidRPr="00502DED">
          <w:rPr>
            <w:rStyle w:val="Hyperlink"/>
            <w:noProof/>
            <w:lang w:eastAsia="en-GB"/>
          </w:rPr>
          <w:t>Review of the European Semester from a disability perspective</w:t>
        </w:r>
        <w:r w:rsidR="00C70C9C">
          <w:rPr>
            <w:noProof/>
            <w:webHidden/>
          </w:rPr>
          <w:tab/>
        </w:r>
        <w:r w:rsidR="00C70C9C">
          <w:rPr>
            <w:noProof/>
            <w:webHidden/>
          </w:rPr>
          <w:fldChar w:fldCharType="begin"/>
        </w:r>
        <w:r w:rsidR="00C70C9C">
          <w:rPr>
            <w:noProof/>
            <w:webHidden/>
          </w:rPr>
          <w:instrText xml:space="preserve"> PAGEREF _Toc483400185 \h </w:instrText>
        </w:r>
        <w:r w:rsidR="00C70C9C">
          <w:rPr>
            <w:noProof/>
            <w:webHidden/>
          </w:rPr>
        </w:r>
        <w:r w:rsidR="00C70C9C">
          <w:rPr>
            <w:noProof/>
            <w:webHidden/>
          </w:rPr>
          <w:fldChar w:fldCharType="separate"/>
        </w:r>
        <w:r w:rsidR="00C70C9C">
          <w:rPr>
            <w:noProof/>
            <w:webHidden/>
          </w:rPr>
          <w:t>32</w:t>
        </w:r>
        <w:r w:rsidR="00C70C9C">
          <w:rPr>
            <w:noProof/>
            <w:webHidden/>
          </w:rPr>
          <w:fldChar w:fldCharType="end"/>
        </w:r>
      </w:hyperlink>
    </w:p>
    <w:p w14:paraId="24C80B38" w14:textId="6BF98FFB" w:rsidR="00C70C9C" w:rsidRDefault="0075476E">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83400186" w:history="1">
        <w:r w:rsidR="00C70C9C" w:rsidRPr="00502DED">
          <w:rPr>
            <w:rStyle w:val="Hyperlink"/>
            <w:noProof/>
          </w:rPr>
          <w:t>5.1</w:t>
        </w:r>
        <w:r w:rsidR="00C70C9C">
          <w:rPr>
            <w:rFonts w:asciiTheme="minorHAnsi" w:eastAsiaTheme="minorEastAsia" w:hAnsiTheme="minorHAnsi" w:cstheme="minorBidi"/>
            <w:noProof/>
            <w:sz w:val="22"/>
            <w:szCs w:val="22"/>
            <w:lang w:val="nl-NL" w:eastAsia="nl-NL"/>
          </w:rPr>
          <w:tab/>
        </w:r>
        <w:r w:rsidR="00C70C9C" w:rsidRPr="00502DED">
          <w:rPr>
            <w:rStyle w:val="Hyperlink"/>
            <w:noProof/>
          </w:rPr>
          <w:t>Progress on disability-specific Country Specific Recommendations (CSRs)</w:t>
        </w:r>
        <w:r w:rsidR="00C70C9C">
          <w:rPr>
            <w:noProof/>
            <w:webHidden/>
          </w:rPr>
          <w:tab/>
        </w:r>
        <w:r w:rsidR="00C70C9C">
          <w:rPr>
            <w:noProof/>
            <w:webHidden/>
          </w:rPr>
          <w:fldChar w:fldCharType="begin"/>
        </w:r>
        <w:r w:rsidR="00C70C9C">
          <w:rPr>
            <w:noProof/>
            <w:webHidden/>
          </w:rPr>
          <w:instrText xml:space="preserve"> PAGEREF _Toc483400186 \h </w:instrText>
        </w:r>
        <w:r w:rsidR="00C70C9C">
          <w:rPr>
            <w:noProof/>
            <w:webHidden/>
          </w:rPr>
        </w:r>
        <w:r w:rsidR="00C70C9C">
          <w:rPr>
            <w:noProof/>
            <w:webHidden/>
          </w:rPr>
          <w:fldChar w:fldCharType="separate"/>
        </w:r>
        <w:r w:rsidR="00C70C9C">
          <w:rPr>
            <w:noProof/>
            <w:webHidden/>
          </w:rPr>
          <w:t>32</w:t>
        </w:r>
        <w:r w:rsidR="00C70C9C">
          <w:rPr>
            <w:noProof/>
            <w:webHidden/>
          </w:rPr>
          <w:fldChar w:fldCharType="end"/>
        </w:r>
      </w:hyperlink>
    </w:p>
    <w:p w14:paraId="29633984" w14:textId="1FFD7D1D" w:rsidR="00C70C9C" w:rsidRDefault="0075476E">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83400187" w:history="1">
        <w:r w:rsidR="00C70C9C" w:rsidRPr="00502DED">
          <w:rPr>
            <w:rStyle w:val="Hyperlink"/>
            <w:noProof/>
            <w:lang w:eastAsia="en-GB"/>
          </w:rPr>
          <w:t>5.2</w:t>
        </w:r>
        <w:r w:rsidR="00C70C9C">
          <w:rPr>
            <w:rFonts w:asciiTheme="minorHAnsi" w:eastAsiaTheme="minorEastAsia" w:hAnsiTheme="minorHAnsi" w:cstheme="minorBidi"/>
            <w:noProof/>
            <w:sz w:val="22"/>
            <w:szCs w:val="22"/>
            <w:lang w:val="nl-NL" w:eastAsia="nl-NL"/>
          </w:rPr>
          <w:tab/>
        </w:r>
        <w:r w:rsidR="00C70C9C" w:rsidRPr="00502DED">
          <w:rPr>
            <w:rStyle w:val="Hyperlink"/>
            <w:noProof/>
            <w:lang w:eastAsia="en-GB"/>
          </w:rPr>
          <w:t>Progress on other CSRs from a disability perspective</w:t>
        </w:r>
        <w:r w:rsidR="00C70C9C">
          <w:rPr>
            <w:noProof/>
            <w:webHidden/>
          </w:rPr>
          <w:tab/>
        </w:r>
        <w:r w:rsidR="00C70C9C">
          <w:rPr>
            <w:noProof/>
            <w:webHidden/>
          </w:rPr>
          <w:fldChar w:fldCharType="begin"/>
        </w:r>
        <w:r w:rsidR="00C70C9C">
          <w:rPr>
            <w:noProof/>
            <w:webHidden/>
          </w:rPr>
          <w:instrText xml:space="preserve"> PAGEREF _Toc483400187 \h </w:instrText>
        </w:r>
        <w:r w:rsidR="00C70C9C">
          <w:rPr>
            <w:noProof/>
            <w:webHidden/>
          </w:rPr>
        </w:r>
        <w:r w:rsidR="00C70C9C">
          <w:rPr>
            <w:noProof/>
            <w:webHidden/>
          </w:rPr>
          <w:fldChar w:fldCharType="separate"/>
        </w:r>
        <w:r w:rsidR="00C70C9C">
          <w:rPr>
            <w:noProof/>
            <w:webHidden/>
          </w:rPr>
          <w:t>32</w:t>
        </w:r>
        <w:r w:rsidR="00C70C9C">
          <w:rPr>
            <w:noProof/>
            <w:webHidden/>
          </w:rPr>
          <w:fldChar w:fldCharType="end"/>
        </w:r>
      </w:hyperlink>
    </w:p>
    <w:p w14:paraId="5EA23795" w14:textId="114E4443" w:rsidR="00C70C9C" w:rsidRDefault="0075476E">
      <w:pPr>
        <w:pStyle w:val="TOC2"/>
        <w:tabs>
          <w:tab w:val="left" w:pos="1134"/>
          <w:tab w:val="right" w:leader="dot" w:pos="9060"/>
        </w:tabs>
        <w:rPr>
          <w:rFonts w:asciiTheme="minorHAnsi" w:eastAsiaTheme="minorEastAsia" w:hAnsiTheme="minorHAnsi" w:cstheme="minorBidi"/>
          <w:noProof/>
          <w:sz w:val="22"/>
          <w:szCs w:val="22"/>
          <w:lang w:val="nl-NL" w:eastAsia="nl-NL"/>
        </w:rPr>
      </w:pPr>
      <w:hyperlink w:anchor="_Toc483400188" w:history="1">
        <w:r w:rsidR="00C70C9C" w:rsidRPr="00502DED">
          <w:rPr>
            <w:rStyle w:val="Hyperlink"/>
            <w:noProof/>
            <w:lang w:eastAsia="en-GB"/>
          </w:rPr>
          <w:t>5.3</w:t>
        </w:r>
        <w:r w:rsidR="00C70C9C">
          <w:rPr>
            <w:rFonts w:asciiTheme="minorHAnsi" w:eastAsiaTheme="minorEastAsia" w:hAnsiTheme="minorHAnsi" w:cstheme="minorBidi"/>
            <w:noProof/>
            <w:sz w:val="22"/>
            <w:szCs w:val="22"/>
            <w:lang w:val="nl-NL" w:eastAsia="nl-NL"/>
          </w:rPr>
          <w:tab/>
        </w:r>
        <w:r w:rsidR="00C70C9C" w:rsidRPr="00502DED">
          <w:rPr>
            <w:rStyle w:val="Hyperlink"/>
            <w:noProof/>
            <w:lang w:eastAsia="en-GB"/>
          </w:rPr>
          <w:t>Assessment of disability issues in the Country Report (CR)</w:t>
        </w:r>
        <w:r w:rsidR="00C70C9C">
          <w:rPr>
            <w:noProof/>
            <w:webHidden/>
          </w:rPr>
          <w:tab/>
        </w:r>
        <w:r w:rsidR="00C70C9C">
          <w:rPr>
            <w:noProof/>
            <w:webHidden/>
          </w:rPr>
          <w:fldChar w:fldCharType="begin"/>
        </w:r>
        <w:r w:rsidR="00C70C9C">
          <w:rPr>
            <w:noProof/>
            <w:webHidden/>
          </w:rPr>
          <w:instrText xml:space="preserve"> PAGEREF _Toc483400188 \h </w:instrText>
        </w:r>
        <w:r w:rsidR="00C70C9C">
          <w:rPr>
            <w:noProof/>
            <w:webHidden/>
          </w:rPr>
        </w:r>
        <w:r w:rsidR="00C70C9C">
          <w:rPr>
            <w:noProof/>
            <w:webHidden/>
          </w:rPr>
          <w:fldChar w:fldCharType="separate"/>
        </w:r>
        <w:r w:rsidR="00C70C9C">
          <w:rPr>
            <w:noProof/>
            <w:webHidden/>
          </w:rPr>
          <w:t>32</w:t>
        </w:r>
        <w:r w:rsidR="00C70C9C">
          <w:rPr>
            <w:noProof/>
            <w:webHidden/>
          </w:rPr>
          <w:fldChar w:fldCharType="end"/>
        </w:r>
      </w:hyperlink>
    </w:p>
    <w:p w14:paraId="103B4149" w14:textId="0EC28494" w:rsidR="00C70C9C" w:rsidRDefault="0075476E">
      <w:pPr>
        <w:pStyle w:val="TOC1"/>
        <w:tabs>
          <w:tab w:val="right" w:leader="dot" w:pos="9060"/>
        </w:tabs>
        <w:rPr>
          <w:rFonts w:asciiTheme="minorHAnsi" w:eastAsiaTheme="minorEastAsia" w:hAnsiTheme="minorHAnsi" w:cstheme="minorBidi"/>
          <w:noProof/>
          <w:sz w:val="22"/>
          <w:szCs w:val="22"/>
          <w:lang w:val="nl-NL" w:eastAsia="nl-NL"/>
        </w:rPr>
      </w:pPr>
      <w:hyperlink w:anchor="_Toc483400189" w:history="1">
        <w:r w:rsidR="00C70C9C" w:rsidRPr="00502DED">
          <w:rPr>
            <w:rStyle w:val="Hyperlink"/>
            <w:noProof/>
            <w:lang w:eastAsia="en-GB"/>
          </w:rPr>
          <w:t>6</w:t>
        </w:r>
        <w:r w:rsidR="00C70C9C">
          <w:rPr>
            <w:rFonts w:asciiTheme="minorHAnsi" w:eastAsiaTheme="minorEastAsia" w:hAnsiTheme="minorHAnsi" w:cstheme="minorBidi"/>
            <w:noProof/>
            <w:sz w:val="22"/>
            <w:szCs w:val="22"/>
            <w:lang w:val="nl-NL" w:eastAsia="nl-NL"/>
          </w:rPr>
          <w:tab/>
        </w:r>
        <w:r w:rsidR="00C70C9C" w:rsidRPr="00502DED">
          <w:rPr>
            <w:rStyle w:val="Hyperlink"/>
            <w:noProof/>
            <w:lang w:eastAsia="en-GB"/>
          </w:rPr>
          <w:t>Assessment of the structural funds ESIF 2014-2020 or other relevant funds</w:t>
        </w:r>
        <w:r w:rsidR="00C70C9C" w:rsidRPr="00502DED">
          <w:rPr>
            <w:rStyle w:val="Hyperlink"/>
            <w:noProof/>
          </w:rPr>
          <w:t xml:space="preserve"> </w:t>
        </w:r>
        <w:r w:rsidR="00C70C9C" w:rsidRPr="00502DED">
          <w:rPr>
            <w:rStyle w:val="Hyperlink"/>
            <w:noProof/>
            <w:lang w:eastAsia="en-GB"/>
          </w:rPr>
          <w:t>in relation to disability challenges</w:t>
        </w:r>
        <w:r w:rsidR="00C70C9C">
          <w:rPr>
            <w:noProof/>
            <w:webHidden/>
          </w:rPr>
          <w:tab/>
        </w:r>
        <w:r w:rsidR="00C70C9C">
          <w:rPr>
            <w:noProof/>
            <w:webHidden/>
          </w:rPr>
          <w:fldChar w:fldCharType="begin"/>
        </w:r>
        <w:r w:rsidR="00C70C9C">
          <w:rPr>
            <w:noProof/>
            <w:webHidden/>
          </w:rPr>
          <w:instrText xml:space="preserve"> PAGEREF _Toc483400189 \h </w:instrText>
        </w:r>
        <w:r w:rsidR="00C70C9C">
          <w:rPr>
            <w:noProof/>
            <w:webHidden/>
          </w:rPr>
        </w:r>
        <w:r w:rsidR="00C70C9C">
          <w:rPr>
            <w:noProof/>
            <w:webHidden/>
          </w:rPr>
          <w:fldChar w:fldCharType="separate"/>
        </w:r>
        <w:r w:rsidR="00C70C9C">
          <w:rPr>
            <w:noProof/>
            <w:webHidden/>
          </w:rPr>
          <w:t>34</w:t>
        </w:r>
        <w:r w:rsidR="00C70C9C">
          <w:rPr>
            <w:noProof/>
            <w:webHidden/>
          </w:rPr>
          <w:fldChar w:fldCharType="end"/>
        </w:r>
      </w:hyperlink>
    </w:p>
    <w:p w14:paraId="4C4449C3" w14:textId="730ED2F2" w:rsidR="00C70C9C" w:rsidRDefault="0075476E">
      <w:pPr>
        <w:pStyle w:val="TOC1"/>
        <w:tabs>
          <w:tab w:val="right" w:leader="dot" w:pos="9060"/>
        </w:tabs>
        <w:rPr>
          <w:rFonts w:asciiTheme="minorHAnsi" w:eastAsiaTheme="minorEastAsia" w:hAnsiTheme="minorHAnsi" w:cstheme="minorBidi"/>
          <w:noProof/>
          <w:sz w:val="22"/>
          <w:szCs w:val="22"/>
          <w:lang w:val="nl-NL" w:eastAsia="nl-NL"/>
        </w:rPr>
      </w:pPr>
      <w:hyperlink w:anchor="_Toc483400190" w:history="1">
        <w:r w:rsidR="00C70C9C" w:rsidRPr="00502DED">
          <w:rPr>
            <w:rStyle w:val="Hyperlink"/>
            <w:noProof/>
            <w:lang w:eastAsia="en-GB"/>
          </w:rPr>
          <w:t>7</w:t>
        </w:r>
        <w:r w:rsidR="00C70C9C">
          <w:rPr>
            <w:rFonts w:asciiTheme="minorHAnsi" w:eastAsiaTheme="minorEastAsia" w:hAnsiTheme="minorHAnsi" w:cstheme="minorBidi"/>
            <w:noProof/>
            <w:sz w:val="22"/>
            <w:szCs w:val="22"/>
            <w:lang w:val="nl-NL" w:eastAsia="nl-NL"/>
          </w:rPr>
          <w:tab/>
        </w:r>
        <w:r w:rsidR="00C70C9C" w:rsidRPr="00502DED">
          <w:rPr>
            <w:rStyle w:val="Hyperlink"/>
            <w:noProof/>
            <w:lang w:eastAsia="en-GB"/>
          </w:rPr>
          <w:t>Recommendations</w:t>
        </w:r>
        <w:r w:rsidR="00C70C9C">
          <w:rPr>
            <w:noProof/>
            <w:webHidden/>
          </w:rPr>
          <w:tab/>
        </w:r>
        <w:r w:rsidR="00C70C9C">
          <w:rPr>
            <w:noProof/>
            <w:webHidden/>
          </w:rPr>
          <w:fldChar w:fldCharType="begin"/>
        </w:r>
        <w:r w:rsidR="00C70C9C">
          <w:rPr>
            <w:noProof/>
            <w:webHidden/>
          </w:rPr>
          <w:instrText xml:space="preserve"> PAGEREF _Toc483400190 \h </w:instrText>
        </w:r>
        <w:r w:rsidR="00C70C9C">
          <w:rPr>
            <w:noProof/>
            <w:webHidden/>
          </w:rPr>
        </w:r>
        <w:r w:rsidR="00C70C9C">
          <w:rPr>
            <w:noProof/>
            <w:webHidden/>
          </w:rPr>
          <w:fldChar w:fldCharType="separate"/>
        </w:r>
        <w:r w:rsidR="00C70C9C">
          <w:rPr>
            <w:noProof/>
            <w:webHidden/>
          </w:rPr>
          <w:t>36</w:t>
        </w:r>
        <w:r w:rsidR="00C70C9C">
          <w:rPr>
            <w:noProof/>
            <w:webHidden/>
          </w:rPr>
          <w:fldChar w:fldCharType="end"/>
        </w:r>
      </w:hyperlink>
    </w:p>
    <w:p w14:paraId="5B94784A" w14:textId="41BFF5B1" w:rsidR="00CF4321" w:rsidRPr="00BA612C" w:rsidRDefault="00CB6FED" w:rsidP="002723EC">
      <w:r w:rsidRPr="00BA612C">
        <w:fldChar w:fldCharType="end"/>
      </w:r>
    </w:p>
    <w:p w14:paraId="0E1C6AD6" w14:textId="72EFC669" w:rsidR="00A14F67" w:rsidRPr="00BA612C" w:rsidRDefault="00A14F67" w:rsidP="002723EC"/>
    <w:p w14:paraId="59642CD5" w14:textId="77777777" w:rsidR="004D01C6" w:rsidRPr="00BA612C" w:rsidRDefault="004D01C6" w:rsidP="002723EC">
      <w:r w:rsidRPr="00BA612C">
        <w:br w:type="page"/>
      </w:r>
    </w:p>
    <w:p w14:paraId="7318BFB7" w14:textId="77777777" w:rsidR="004D01C6" w:rsidRPr="00BA612C" w:rsidRDefault="004D01C6" w:rsidP="002723EC">
      <w:pPr>
        <w:pStyle w:val="Heading1"/>
        <w:rPr>
          <w:szCs w:val="24"/>
        </w:rPr>
      </w:pPr>
      <w:bookmarkStart w:id="0" w:name="_Toc429999631"/>
      <w:bookmarkStart w:id="1" w:name="_Toc483400165"/>
      <w:r w:rsidRPr="00BA612C">
        <w:rPr>
          <w:szCs w:val="24"/>
        </w:rPr>
        <w:lastRenderedPageBreak/>
        <w:t>Summary of the overall situation and challenges</w:t>
      </w:r>
      <w:bookmarkEnd w:id="0"/>
      <w:bookmarkEnd w:id="1"/>
    </w:p>
    <w:p w14:paraId="4A9BFF9A" w14:textId="77777777" w:rsidR="00954863" w:rsidRPr="00BA612C" w:rsidRDefault="00954863" w:rsidP="002723EC"/>
    <w:p w14:paraId="022A08D2" w14:textId="2D159550" w:rsidR="003F3157" w:rsidRPr="00BA612C" w:rsidRDefault="005A30E0" w:rsidP="002723EC">
      <w:r w:rsidRPr="00BA612C">
        <w:t>As reported in the 2015 ANED country fiche</w:t>
      </w:r>
      <w:r w:rsidR="00FE1876" w:rsidRPr="00BA612C">
        <w:t>, t</w:t>
      </w:r>
      <w:r w:rsidR="002A36FA" w:rsidRPr="00BA612C">
        <w:t xml:space="preserve">hree main aspects of Austrian policymaking </w:t>
      </w:r>
      <w:r w:rsidRPr="00BA612C">
        <w:t xml:space="preserve">remain </w:t>
      </w:r>
      <w:r w:rsidR="002A36FA" w:rsidRPr="00BA612C">
        <w:t xml:space="preserve">relevant when discussing the overall situation of persons with disabilities in Austria: </w:t>
      </w:r>
    </w:p>
    <w:p w14:paraId="21A0FF50" w14:textId="77777777" w:rsidR="003F3157" w:rsidRPr="00BA612C" w:rsidRDefault="003F3157" w:rsidP="002723EC"/>
    <w:p w14:paraId="6BB4400D" w14:textId="4309F81B" w:rsidR="0015251C" w:rsidRPr="00BA612C" w:rsidRDefault="00EC3D12" w:rsidP="002723EC">
      <w:r w:rsidRPr="00BA612C">
        <w:t>First</w:t>
      </w:r>
      <w:r w:rsidR="00490DAB" w:rsidRPr="00BA612C">
        <w:t xml:space="preserve">, the </w:t>
      </w:r>
      <w:r w:rsidR="00490DAB" w:rsidRPr="00BA612C">
        <w:rPr>
          <w:i/>
        </w:rPr>
        <w:t>general lack of specific data</w:t>
      </w:r>
      <w:r w:rsidR="0001019B" w:rsidRPr="00BA612C">
        <w:rPr>
          <w:rStyle w:val="FootnoteReference"/>
        </w:rPr>
        <w:footnoteReference w:id="2"/>
      </w:r>
      <w:r w:rsidR="00490DAB" w:rsidRPr="00BA612C">
        <w:t xml:space="preserve"> on the living situation of persons with disabilities in Austria makes it hard to evaluate the overall situation as well as the effectiveness of prog</w:t>
      </w:r>
      <w:r w:rsidR="00CB3657" w:rsidRPr="00BA612C">
        <w:t xml:space="preserve">rammes and measures. </w:t>
      </w:r>
      <w:r w:rsidR="00FE6B75" w:rsidRPr="00BA612C">
        <w:t>The e</w:t>
      </w:r>
      <w:r w:rsidR="00490DAB" w:rsidRPr="00BA612C">
        <w:t>vidence base is limited due to the fact that the data situation is quite incomplete.</w:t>
      </w:r>
      <w:r w:rsidR="00487C6E" w:rsidRPr="00BA612C">
        <w:t xml:space="preserve"> </w:t>
      </w:r>
      <w:r w:rsidR="00390417" w:rsidRPr="00BA612C">
        <w:t>D</w:t>
      </w:r>
      <w:r w:rsidR="00FF666C" w:rsidRPr="00BA612C">
        <w:t xml:space="preserve">efinitions of ‘disability’ differ between </w:t>
      </w:r>
      <w:r w:rsidR="00AD3E76" w:rsidRPr="00BA612C">
        <w:t>data collection tools, legal framework</w:t>
      </w:r>
      <w:r w:rsidR="005A30E0" w:rsidRPr="00BA612C">
        <w:t>s</w:t>
      </w:r>
      <w:r w:rsidR="00AD3E76" w:rsidRPr="00BA612C">
        <w:t xml:space="preserve"> and </w:t>
      </w:r>
      <w:r w:rsidR="00C20828" w:rsidRPr="00BA612C">
        <w:t>political practice</w:t>
      </w:r>
      <w:r w:rsidR="005A30E0" w:rsidRPr="00BA612C">
        <w:t>s</w:t>
      </w:r>
      <w:r w:rsidR="00BC0004" w:rsidRPr="00BA612C">
        <w:t xml:space="preserve"> (</w:t>
      </w:r>
      <w:r w:rsidR="005A30E0" w:rsidRPr="00BA612C">
        <w:t xml:space="preserve">i.e. </w:t>
      </w:r>
      <w:r w:rsidR="00BC0004" w:rsidRPr="00BA612C">
        <w:t>referring to different models</w:t>
      </w:r>
      <w:r w:rsidR="0079776A" w:rsidRPr="00BA612C">
        <w:t xml:space="preserve"> of disability</w:t>
      </w:r>
      <w:r w:rsidR="00DE4ED4" w:rsidRPr="00BA612C">
        <w:t>)</w:t>
      </w:r>
      <w:r w:rsidR="007561BB" w:rsidRPr="00BA612C">
        <w:t xml:space="preserve">. </w:t>
      </w:r>
      <w:r w:rsidR="00251741" w:rsidRPr="00BA612C">
        <w:t xml:space="preserve">Measures taken are often not seriously evaluated. E.g. the scarce data available on the effectives of the new rehabilitation benefit indicates distinct weaknesses of this new programme in the framework of EU2020 targets.  </w:t>
      </w:r>
    </w:p>
    <w:p w14:paraId="254EA4B9" w14:textId="77777777" w:rsidR="00484B9A" w:rsidRPr="00BA612C" w:rsidRDefault="00484B9A" w:rsidP="002723EC"/>
    <w:p w14:paraId="258CF2F4" w14:textId="74C38736" w:rsidR="00E07BDB" w:rsidRPr="00BA612C" w:rsidRDefault="00484B9A" w:rsidP="002723EC">
      <w:r w:rsidRPr="00BA612C">
        <w:t xml:space="preserve">Second and intertwined with the first point, a </w:t>
      </w:r>
      <w:r w:rsidR="00490DAB" w:rsidRPr="00BA612C">
        <w:t xml:space="preserve">main challenge in Austria </w:t>
      </w:r>
      <w:r w:rsidR="00CC71B7" w:rsidRPr="00BA612C">
        <w:t xml:space="preserve">still </w:t>
      </w:r>
      <w:r w:rsidRPr="00BA612C">
        <w:t>i</w:t>
      </w:r>
      <w:r w:rsidR="00490DAB" w:rsidRPr="00BA612C">
        <w:t xml:space="preserve">s to make persons with disabilities visible as a </w:t>
      </w:r>
      <w:r w:rsidR="00490DAB" w:rsidRPr="00BA612C">
        <w:rPr>
          <w:i/>
        </w:rPr>
        <w:t xml:space="preserve">distinct </w:t>
      </w:r>
      <w:r w:rsidR="00647F35" w:rsidRPr="00BA612C">
        <w:rPr>
          <w:i/>
        </w:rPr>
        <w:t>‘</w:t>
      </w:r>
      <w:r w:rsidR="00490DAB" w:rsidRPr="00BA612C">
        <w:rPr>
          <w:i/>
        </w:rPr>
        <w:t>target gro</w:t>
      </w:r>
      <w:r w:rsidR="002A0804" w:rsidRPr="00BA612C">
        <w:rPr>
          <w:i/>
        </w:rPr>
        <w:t>u</w:t>
      </w:r>
      <w:r w:rsidR="00490DAB" w:rsidRPr="00BA612C">
        <w:rPr>
          <w:i/>
        </w:rPr>
        <w:t>p</w:t>
      </w:r>
      <w:r w:rsidR="002A0804" w:rsidRPr="00BA612C">
        <w:rPr>
          <w:i/>
        </w:rPr>
        <w:t>’</w:t>
      </w:r>
      <w:r w:rsidR="00242311" w:rsidRPr="00BA612C">
        <w:rPr>
          <w:i/>
        </w:rPr>
        <w:t xml:space="preserve"> for policymaking</w:t>
      </w:r>
      <w:r w:rsidR="00490DAB" w:rsidRPr="00BA612C">
        <w:t xml:space="preserve"> – particularly in the field of </w:t>
      </w:r>
      <w:r w:rsidR="000E4E89" w:rsidRPr="00BA612C">
        <w:t xml:space="preserve">employment, </w:t>
      </w:r>
      <w:r w:rsidR="00490DAB" w:rsidRPr="00BA612C">
        <w:t xml:space="preserve">education, poverty reduction and social exclusion. </w:t>
      </w:r>
      <w:r w:rsidR="00E84677" w:rsidRPr="00BA612C">
        <w:t xml:space="preserve">There is a lack of disability mainstreaming </w:t>
      </w:r>
      <w:r w:rsidR="004610D4" w:rsidRPr="00BA612C">
        <w:t xml:space="preserve">in the </w:t>
      </w:r>
      <w:r w:rsidR="00E750F3" w:rsidRPr="00BA612C">
        <w:t xml:space="preserve">Austrian </w:t>
      </w:r>
      <w:r w:rsidR="000D13A0" w:rsidRPr="00BA612C">
        <w:t>N</w:t>
      </w:r>
      <w:r w:rsidR="00E750F3" w:rsidRPr="00BA612C">
        <w:t xml:space="preserve">ational </w:t>
      </w:r>
      <w:r w:rsidR="00377F68" w:rsidRPr="00BA612C">
        <w:t>R</w:t>
      </w:r>
      <w:r w:rsidR="00E750F3" w:rsidRPr="00BA612C">
        <w:t xml:space="preserve">eform </w:t>
      </w:r>
      <w:r w:rsidR="000D13A0" w:rsidRPr="00BA612C">
        <w:t>P</w:t>
      </w:r>
      <w:r w:rsidR="00E750F3" w:rsidRPr="00BA612C">
        <w:t>rogramme</w:t>
      </w:r>
      <w:r w:rsidR="00377F68" w:rsidRPr="00BA612C">
        <w:t xml:space="preserve"> 201</w:t>
      </w:r>
      <w:r w:rsidR="00D91CAC" w:rsidRPr="00BA612C">
        <w:t>6</w:t>
      </w:r>
      <w:r w:rsidR="00BB6408" w:rsidRPr="00BA612C">
        <w:t xml:space="preserve"> (NRP)</w:t>
      </w:r>
      <w:r w:rsidR="00377F68" w:rsidRPr="00BA612C">
        <w:t xml:space="preserve">, where persons with disabilities are </w:t>
      </w:r>
      <w:r w:rsidR="00B5034C" w:rsidRPr="00BA612C">
        <w:t>almost invisible</w:t>
      </w:r>
      <w:r w:rsidR="008A3658" w:rsidRPr="00BA612C">
        <w:t>.</w:t>
      </w:r>
      <w:r w:rsidR="00274520" w:rsidRPr="00BA612C">
        <w:rPr>
          <w:rStyle w:val="FootnoteReference"/>
        </w:rPr>
        <w:footnoteReference w:id="3"/>
      </w:r>
      <w:r w:rsidR="008A3658" w:rsidRPr="00BA612C">
        <w:t xml:space="preserve"> </w:t>
      </w:r>
      <w:r w:rsidR="00377F68" w:rsidRPr="00BA612C">
        <w:t xml:space="preserve">To </w:t>
      </w:r>
      <w:r w:rsidR="00E84677" w:rsidRPr="00BA612C">
        <w:t>ensure</w:t>
      </w:r>
      <w:r w:rsidR="00377F68" w:rsidRPr="00BA612C">
        <w:t xml:space="preserve"> a sustainable </w:t>
      </w:r>
      <w:r w:rsidR="00E84677" w:rsidRPr="00BA612C">
        <w:t>inclusion</w:t>
      </w:r>
      <w:r w:rsidR="0061146D" w:rsidRPr="00BA612C">
        <w:t xml:space="preserve">, </w:t>
      </w:r>
      <w:r w:rsidR="00377F68" w:rsidRPr="00BA612C">
        <w:t>persons with disabilities need to b</w:t>
      </w:r>
      <w:r w:rsidR="000D13A0" w:rsidRPr="00BA612C">
        <w:t>e explicitly addressed in the N</w:t>
      </w:r>
      <w:r w:rsidR="00377F68" w:rsidRPr="00BA612C">
        <w:t>R</w:t>
      </w:r>
      <w:r w:rsidR="000D13A0" w:rsidRPr="00BA612C">
        <w:t>P</w:t>
      </w:r>
      <w:r w:rsidR="00377F68" w:rsidRPr="00BA612C">
        <w:t xml:space="preserve"> </w:t>
      </w:r>
      <w:r w:rsidR="00443FB0" w:rsidRPr="00BA612C">
        <w:t>(</w:t>
      </w:r>
      <w:r w:rsidR="00E84677" w:rsidRPr="00BA612C">
        <w:t>and</w:t>
      </w:r>
      <w:r w:rsidR="00443FB0" w:rsidRPr="00BA612C">
        <w:t xml:space="preserve"> </w:t>
      </w:r>
      <w:r w:rsidR="00956ACA" w:rsidRPr="00BA612C">
        <w:t xml:space="preserve">in the first place, </w:t>
      </w:r>
      <w:r w:rsidR="00443FB0" w:rsidRPr="00BA612C">
        <w:t xml:space="preserve">addressed in the </w:t>
      </w:r>
      <w:r w:rsidR="00E84677" w:rsidRPr="00BA612C">
        <w:t xml:space="preserve">Commission’s Country Report and </w:t>
      </w:r>
      <w:r w:rsidR="00443FB0" w:rsidRPr="00BA612C">
        <w:t>Count</w:t>
      </w:r>
      <w:r w:rsidR="00056BF0" w:rsidRPr="00BA612C">
        <w:t>ry-Specific R</w:t>
      </w:r>
      <w:r w:rsidR="00443FB0" w:rsidRPr="00BA612C">
        <w:t xml:space="preserve">ecommendations) </w:t>
      </w:r>
      <w:r w:rsidR="00377F68" w:rsidRPr="00BA612C">
        <w:t>– regarding employment, education and social inclusion</w:t>
      </w:r>
      <w:r w:rsidR="00014012" w:rsidRPr="00BA612C">
        <w:t xml:space="preserve">. </w:t>
      </w:r>
      <w:r w:rsidR="00E07BDB" w:rsidRPr="00BA612C">
        <w:t>Measures</w:t>
      </w:r>
      <w:r w:rsidR="00E32E1B" w:rsidRPr="00BA612C">
        <w:t xml:space="preserve"> </w:t>
      </w:r>
      <w:r w:rsidR="00E07BDB" w:rsidRPr="00BA612C">
        <w:t xml:space="preserve">(e.g. </w:t>
      </w:r>
      <w:r w:rsidR="00E32E1B" w:rsidRPr="00BA612C">
        <w:t>to combat unemployment among young people and older people</w:t>
      </w:r>
      <w:r w:rsidR="00390417" w:rsidRPr="00BA612C">
        <w:t xml:space="preserve"> or to ensure tertiary education for young persons with disabilities</w:t>
      </w:r>
      <w:r w:rsidR="00E32E1B" w:rsidRPr="00BA612C">
        <w:t xml:space="preserve">) </w:t>
      </w:r>
      <w:r w:rsidR="00711A17" w:rsidRPr="00BA612C">
        <w:t xml:space="preserve">should explicitly be tailored </w:t>
      </w:r>
      <w:r w:rsidR="00E84677" w:rsidRPr="00BA612C">
        <w:t>to support</w:t>
      </w:r>
      <w:r w:rsidR="00F53836" w:rsidRPr="00BA612C">
        <w:t xml:space="preserve"> </w:t>
      </w:r>
      <w:r w:rsidR="00711A17" w:rsidRPr="00BA612C">
        <w:t xml:space="preserve">this </w:t>
      </w:r>
      <w:r w:rsidR="00433330" w:rsidRPr="00BA612C">
        <w:t>(</w:t>
      </w:r>
      <w:r w:rsidR="00D86B13" w:rsidRPr="00BA612C">
        <w:t>heterogeneous</w:t>
      </w:r>
      <w:r w:rsidR="00433330" w:rsidRPr="00BA612C">
        <w:t xml:space="preserve">) </w:t>
      </w:r>
      <w:r w:rsidR="00286275" w:rsidRPr="00BA612C">
        <w:t>group</w:t>
      </w:r>
      <w:r w:rsidR="00612CE5" w:rsidRPr="00BA612C">
        <w:t xml:space="preserve">. </w:t>
      </w:r>
    </w:p>
    <w:p w14:paraId="662EF1E0" w14:textId="77777777" w:rsidR="00E07BDB" w:rsidRPr="00BA612C" w:rsidRDefault="00E07BDB" w:rsidP="002723EC"/>
    <w:p w14:paraId="5019CF44" w14:textId="2E3C6741" w:rsidR="00B368D7" w:rsidRPr="00BA612C" w:rsidRDefault="001E62A0" w:rsidP="002723EC">
      <w:r w:rsidRPr="00BA612C">
        <w:t xml:space="preserve">Third, </w:t>
      </w:r>
      <w:r w:rsidR="00E84677" w:rsidRPr="00BA612C">
        <w:rPr>
          <w:i/>
        </w:rPr>
        <w:t xml:space="preserve">federalism </w:t>
      </w:r>
      <w:r w:rsidR="00BF43CB" w:rsidRPr="00BA612C">
        <w:t>in</w:t>
      </w:r>
      <w:r w:rsidR="00E84677" w:rsidRPr="00BA612C">
        <w:rPr>
          <w:i/>
        </w:rPr>
        <w:t xml:space="preserve"> </w:t>
      </w:r>
      <w:r w:rsidR="00D45962" w:rsidRPr="00BA612C">
        <w:t>the Austrian political system</w:t>
      </w:r>
      <w:r w:rsidR="00F16915" w:rsidRPr="00BA612C">
        <w:t xml:space="preserve"> </w:t>
      </w:r>
      <w:r w:rsidR="00BD7A77" w:rsidRPr="00BA612C">
        <w:t xml:space="preserve">complicates </w:t>
      </w:r>
      <w:r w:rsidR="00BF43CB" w:rsidRPr="00BA612C">
        <w:t xml:space="preserve">responsibilities in </w:t>
      </w:r>
      <w:r w:rsidR="00895542" w:rsidRPr="00BA612C">
        <w:t xml:space="preserve">policymaking in the field of disability policy. </w:t>
      </w:r>
      <w:r w:rsidR="000B2577" w:rsidRPr="00BA612C">
        <w:t xml:space="preserve">This </w:t>
      </w:r>
      <w:r w:rsidR="00FE6B75" w:rsidRPr="00BA612C">
        <w:t xml:space="preserve">is </w:t>
      </w:r>
      <w:r w:rsidR="000B2577" w:rsidRPr="00BA612C">
        <w:t>ob</w:t>
      </w:r>
      <w:r w:rsidR="00B368D7" w:rsidRPr="00BA612C">
        <w:t xml:space="preserve">vious in the context </w:t>
      </w:r>
      <w:r w:rsidR="00390417" w:rsidRPr="00BA612C">
        <w:t>of employment for persons with disabilities where responsibilities are split up depending on the severity of disability</w:t>
      </w:r>
      <w:r w:rsidR="00B368D7" w:rsidRPr="00BA612C">
        <w:t xml:space="preserve">. </w:t>
      </w:r>
      <w:r w:rsidR="001F7FFE" w:rsidRPr="00BA612C">
        <w:t xml:space="preserve">Implementing </w:t>
      </w:r>
      <w:r w:rsidR="00BF43CB" w:rsidRPr="00BA612C">
        <w:t xml:space="preserve">policy </w:t>
      </w:r>
      <w:r w:rsidR="001F7FFE" w:rsidRPr="00BA612C">
        <w:t xml:space="preserve">measures which refer both to the federal and to the regional level </w:t>
      </w:r>
      <w:r w:rsidR="00901859" w:rsidRPr="00BA612C">
        <w:t>means</w:t>
      </w:r>
      <w:r w:rsidR="00FE6B75" w:rsidRPr="00BA612C">
        <w:t xml:space="preserve"> there is a need</w:t>
      </w:r>
      <w:r w:rsidR="00901859" w:rsidRPr="00BA612C">
        <w:t xml:space="preserve"> to clarify </w:t>
      </w:r>
      <w:r w:rsidR="00C52909" w:rsidRPr="00BA612C">
        <w:t xml:space="preserve">content-related </w:t>
      </w:r>
      <w:r w:rsidR="00A22EC3" w:rsidRPr="00BA612C">
        <w:t>competencies and</w:t>
      </w:r>
      <w:r w:rsidR="008D010D" w:rsidRPr="00BA612C">
        <w:t xml:space="preserve"> </w:t>
      </w:r>
      <w:r w:rsidR="00A22EC3" w:rsidRPr="00BA612C">
        <w:t xml:space="preserve">financial </w:t>
      </w:r>
      <w:r w:rsidR="008007AB" w:rsidRPr="00BA612C">
        <w:t>responsibilities</w:t>
      </w:r>
      <w:r w:rsidR="004B004A" w:rsidRPr="00BA612C">
        <w:t xml:space="preserve">, </w:t>
      </w:r>
      <w:r w:rsidR="00FE6B75" w:rsidRPr="00BA612C">
        <w:t xml:space="preserve">in practice </w:t>
      </w:r>
      <w:r w:rsidR="004B004A" w:rsidRPr="00BA612C">
        <w:t>l</w:t>
      </w:r>
      <w:r w:rsidR="008007AB" w:rsidRPr="00BA612C">
        <w:t xml:space="preserve">eading in many cases to </w:t>
      </w:r>
      <w:r w:rsidR="00EF7F1E" w:rsidRPr="00BA612C">
        <w:t xml:space="preserve">stalemate. </w:t>
      </w:r>
    </w:p>
    <w:p w14:paraId="4365D466" w14:textId="77777777" w:rsidR="00B368D7" w:rsidRPr="00BA612C" w:rsidRDefault="00B368D7" w:rsidP="002723EC"/>
    <w:p w14:paraId="48B444C7" w14:textId="0901872A" w:rsidR="00D23826" w:rsidRPr="00BA612C" w:rsidRDefault="009A1B0E" w:rsidP="002723EC">
      <w:r w:rsidRPr="00BA612C">
        <w:t xml:space="preserve">The </w:t>
      </w:r>
      <w:r w:rsidR="004C3D79" w:rsidRPr="00BA612C">
        <w:t xml:space="preserve">interweaving of these </w:t>
      </w:r>
      <w:r w:rsidR="00BD5DDC" w:rsidRPr="00BA612C">
        <w:t xml:space="preserve">main </w:t>
      </w:r>
      <w:r w:rsidR="004C3D79" w:rsidRPr="00BA612C">
        <w:t xml:space="preserve">three </w:t>
      </w:r>
      <w:r w:rsidR="00BD5DDC" w:rsidRPr="00BA612C">
        <w:t xml:space="preserve">challenges </w:t>
      </w:r>
      <w:r w:rsidR="00384EB9" w:rsidRPr="00BA612C">
        <w:t xml:space="preserve">for </w:t>
      </w:r>
      <w:r w:rsidR="00BD5DDC" w:rsidRPr="00BA612C">
        <w:t xml:space="preserve">policymaking in the field of disability policy in Austria </w:t>
      </w:r>
      <w:r w:rsidR="00384EB9" w:rsidRPr="00BA612C">
        <w:t xml:space="preserve">hinders sustainable </w:t>
      </w:r>
      <w:r w:rsidR="00606C39" w:rsidRPr="00BA612C">
        <w:t xml:space="preserve">and efficient </w:t>
      </w:r>
      <w:r w:rsidR="00384EB9" w:rsidRPr="00BA612C">
        <w:t>change with regard to the sit</w:t>
      </w:r>
      <w:r w:rsidR="006F1124" w:rsidRPr="00BA612C">
        <w:t>uation of persons with disabilities</w:t>
      </w:r>
      <w:r w:rsidR="002266AC" w:rsidRPr="00BA612C">
        <w:t xml:space="preserve"> in areas relevant to the EU2020 priorities</w:t>
      </w:r>
      <w:r w:rsidR="006F1124" w:rsidRPr="00BA612C">
        <w:t xml:space="preserve">. </w:t>
      </w:r>
      <w:r w:rsidR="00CC71B7" w:rsidRPr="00BA612C">
        <w:t xml:space="preserve">ESF funds are not used to tackle </w:t>
      </w:r>
      <w:r w:rsidR="008B0C3F" w:rsidRPr="00BA612C">
        <w:t>these well</w:t>
      </w:r>
      <w:r w:rsidR="00C81C3D" w:rsidRPr="00BA612C">
        <w:t>-</w:t>
      </w:r>
      <w:r w:rsidR="00FE6B75" w:rsidRPr="00BA612C">
        <w:t xml:space="preserve">known </w:t>
      </w:r>
      <w:r w:rsidR="008B0C3F" w:rsidRPr="00BA612C">
        <w:t>problems.</w:t>
      </w:r>
    </w:p>
    <w:p w14:paraId="1232AFAA" w14:textId="77777777" w:rsidR="000E153F" w:rsidRPr="00BA612C" w:rsidRDefault="000E153F" w:rsidP="002723EC"/>
    <w:p w14:paraId="722AAE9B" w14:textId="53803300" w:rsidR="009F412F" w:rsidRPr="00BA612C" w:rsidRDefault="00406A97" w:rsidP="002723EC">
      <w:r w:rsidRPr="00BA612C">
        <w:t xml:space="preserve">In general, the current </w:t>
      </w:r>
      <w:r w:rsidR="00B956F4" w:rsidRPr="00BA612C">
        <w:t xml:space="preserve">omnipresent </w:t>
      </w:r>
      <w:r w:rsidRPr="00BA612C">
        <w:t xml:space="preserve">political and public debate about refugees and migrants </w:t>
      </w:r>
      <w:r w:rsidR="00EA7F46" w:rsidRPr="00BA612C">
        <w:t xml:space="preserve">superimposes </w:t>
      </w:r>
      <w:r w:rsidR="009C7912" w:rsidRPr="00BA612C">
        <w:t xml:space="preserve">sustainable </w:t>
      </w:r>
      <w:r w:rsidR="00EA7F46" w:rsidRPr="00BA612C">
        <w:t>debates about persons with disabilities in Austria</w:t>
      </w:r>
      <w:r w:rsidR="00FA5654" w:rsidRPr="00BA612C">
        <w:t xml:space="preserve"> – </w:t>
      </w:r>
      <w:r w:rsidR="009B1BB4" w:rsidRPr="00BA612C">
        <w:t xml:space="preserve">e.g. </w:t>
      </w:r>
      <w:r w:rsidR="00FA5654" w:rsidRPr="00BA612C">
        <w:t>regarding labour</w:t>
      </w:r>
      <w:r w:rsidR="009B1BB4" w:rsidRPr="00BA612C">
        <w:t xml:space="preserve"> market access</w:t>
      </w:r>
      <w:r w:rsidR="00511E96" w:rsidRPr="00BA612C">
        <w:t>, minimum income</w:t>
      </w:r>
      <w:r w:rsidR="009B1BB4" w:rsidRPr="00BA612C">
        <w:t xml:space="preserve"> and</w:t>
      </w:r>
      <w:r w:rsidR="00FA5654" w:rsidRPr="00BA612C">
        <w:t xml:space="preserve"> the educational system </w:t>
      </w:r>
      <w:r w:rsidR="00EA7F46" w:rsidRPr="00BA612C">
        <w:t>(see e.g. chapter 5</w:t>
      </w:r>
      <w:r w:rsidR="008158EE" w:rsidRPr="00BA612C">
        <w:t>.1</w:t>
      </w:r>
      <w:r w:rsidR="00EA7F46" w:rsidRPr="00BA612C">
        <w:t xml:space="preserve"> on education). </w:t>
      </w:r>
      <w:r w:rsidR="002A5BC2" w:rsidRPr="00BA612C">
        <w:t xml:space="preserve">This has </w:t>
      </w:r>
      <w:r w:rsidR="00BB6C03" w:rsidRPr="00BA612C">
        <w:t xml:space="preserve">indeed </w:t>
      </w:r>
      <w:r w:rsidR="002A5BC2" w:rsidRPr="00BA612C">
        <w:t xml:space="preserve">a </w:t>
      </w:r>
      <w:r w:rsidR="00D5395D" w:rsidRPr="00BA612C">
        <w:t xml:space="preserve">significant impact </w:t>
      </w:r>
      <w:r w:rsidR="002A5BC2" w:rsidRPr="00BA612C">
        <w:t xml:space="preserve">on </w:t>
      </w:r>
      <w:r w:rsidR="00BB6C03" w:rsidRPr="00BA612C">
        <w:t xml:space="preserve">persons </w:t>
      </w:r>
      <w:r w:rsidR="00BB6C03" w:rsidRPr="00BA612C">
        <w:lastRenderedPageBreak/>
        <w:t xml:space="preserve">with disabilities in Austria, as they even more </w:t>
      </w:r>
      <w:r w:rsidR="0036765F" w:rsidRPr="00BA612C">
        <w:t xml:space="preserve">fade from the political and societal spotlight. </w:t>
      </w:r>
    </w:p>
    <w:p w14:paraId="7C8261F6" w14:textId="77777777" w:rsidR="00954863" w:rsidRPr="00BA612C" w:rsidRDefault="00954863" w:rsidP="002723EC"/>
    <w:p w14:paraId="71DFE12E" w14:textId="6DE0853B" w:rsidR="00EB54C7" w:rsidRPr="00BA612C" w:rsidRDefault="00EB54C7" w:rsidP="002723EC">
      <w:pPr>
        <w:rPr>
          <w:rFonts w:eastAsiaTheme="majorEastAsia"/>
          <w:b/>
          <w:bCs/>
        </w:rPr>
      </w:pPr>
      <w:r w:rsidRPr="00BA612C">
        <w:br w:type="page"/>
      </w:r>
    </w:p>
    <w:p w14:paraId="34CE8F42" w14:textId="77777777" w:rsidR="001341CA" w:rsidRPr="00BA612C" w:rsidRDefault="001341CA" w:rsidP="002723EC">
      <w:pPr>
        <w:pStyle w:val="Heading1"/>
        <w:rPr>
          <w:szCs w:val="24"/>
        </w:rPr>
      </w:pPr>
      <w:bookmarkStart w:id="2" w:name="_Toc429999632"/>
      <w:bookmarkStart w:id="3" w:name="_Toc483400166"/>
      <w:r w:rsidRPr="00BA612C">
        <w:rPr>
          <w:szCs w:val="24"/>
        </w:rPr>
        <w:lastRenderedPageBreak/>
        <w:t xml:space="preserve">Assessment of the situation </w:t>
      </w:r>
      <w:r w:rsidR="000D320A" w:rsidRPr="00BA612C">
        <w:rPr>
          <w:szCs w:val="24"/>
        </w:rPr>
        <w:t xml:space="preserve">of disabled people </w:t>
      </w:r>
      <w:r w:rsidRPr="00BA612C">
        <w:rPr>
          <w:szCs w:val="24"/>
        </w:rPr>
        <w:t>with respect to the Europe 2020 headline targets</w:t>
      </w:r>
      <w:bookmarkEnd w:id="2"/>
      <w:bookmarkEnd w:id="3"/>
    </w:p>
    <w:p w14:paraId="735AA007" w14:textId="77777777" w:rsidR="00AF323E" w:rsidRPr="00BA612C" w:rsidRDefault="00AF323E" w:rsidP="002723EC"/>
    <w:p w14:paraId="76BA3090" w14:textId="77777777" w:rsidR="001341CA" w:rsidRPr="00BA612C" w:rsidRDefault="00EA2651" w:rsidP="002723EC">
      <w:pPr>
        <w:pStyle w:val="Heading2"/>
        <w:rPr>
          <w:szCs w:val="24"/>
        </w:rPr>
      </w:pPr>
      <w:bookmarkStart w:id="4" w:name="_Toc429999633"/>
      <w:bookmarkStart w:id="5" w:name="_Toc483400167"/>
      <w:r w:rsidRPr="00BA612C">
        <w:rPr>
          <w:szCs w:val="24"/>
        </w:rPr>
        <w:t>Strategic</w:t>
      </w:r>
      <w:r w:rsidR="000D320A" w:rsidRPr="00BA612C">
        <w:rPr>
          <w:szCs w:val="24"/>
        </w:rPr>
        <w:t xml:space="preserve"> targets</w:t>
      </w:r>
      <w:bookmarkEnd w:id="4"/>
      <w:bookmarkEnd w:id="5"/>
    </w:p>
    <w:p w14:paraId="5FE6069C" w14:textId="77777777" w:rsidR="00AF323E" w:rsidRPr="00BA612C" w:rsidRDefault="00AF323E" w:rsidP="002723EC"/>
    <w:p w14:paraId="16988A15" w14:textId="0EBE6708" w:rsidR="00B12ADE" w:rsidRPr="00BA612C" w:rsidRDefault="00B12ADE" w:rsidP="002723EC">
      <w:pPr>
        <w:pStyle w:val="Caption"/>
        <w:rPr>
          <w:sz w:val="24"/>
          <w:szCs w:val="24"/>
        </w:rPr>
      </w:pPr>
      <w:r w:rsidRPr="00BA612C">
        <w:rPr>
          <w:sz w:val="24"/>
          <w:szCs w:val="24"/>
        </w:rPr>
        <w:t xml:space="preserve">Table </w:t>
      </w:r>
      <w:r w:rsidR="00C81C3D" w:rsidRPr="00BA612C">
        <w:rPr>
          <w:sz w:val="24"/>
          <w:szCs w:val="24"/>
        </w:rPr>
        <w:fldChar w:fldCharType="begin"/>
      </w:r>
      <w:r w:rsidR="00C81C3D" w:rsidRPr="00BA612C">
        <w:rPr>
          <w:sz w:val="24"/>
          <w:szCs w:val="24"/>
        </w:rPr>
        <w:instrText xml:space="preserve"> SEQ Table \* ARABIC </w:instrText>
      </w:r>
      <w:r w:rsidR="00C81C3D" w:rsidRPr="00BA612C">
        <w:rPr>
          <w:sz w:val="24"/>
          <w:szCs w:val="24"/>
        </w:rPr>
        <w:fldChar w:fldCharType="separate"/>
      </w:r>
      <w:r w:rsidR="009A3178">
        <w:rPr>
          <w:noProof/>
          <w:sz w:val="24"/>
          <w:szCs w:val="24"/>
        </w:rPr>
        <w:t>1</w:t>
      </w:r>
      <w:r w:rsidR="00C81C3D" w:rsidRPr="00BA612C">
        <w:rPr>
          <w:noProof/>
          <w:sz w:val="24"/>
          <w:szCs w:val="24"/>
        </w:rPr>
        <w:fldChar w:fldCharType="end"/>
      </w:r>
      <w:r w:rsidRPr="00BA612C">
        <w:rPr>
          <w:sz w:val="24"/>
          <w:szCs w:val="24"/>
        </w:rPr>
        <w:t xml:space="preserve">: Europe 2020 and </w:t>
      </w:r>
      <w:r w:rsidR="00EA2651" w:rsidRPr="00BA612C">
        <w:rPr>
          <w:sz w:val="24"/>
          <w:szCs w:val="24"/>
        </w:rPr>
        <w:t xml:space="preserve">agreed </w:t>
      </w:r>
      <w:r w:rsidRPr="00BA612C">
        <w:rPr>
          <w:sz w:val="24"/>
          <w:szCs w:val="24"/>
        </w:rPr>
        <w:t>national targets</w:t>
      </w:r>
      <w:r w:rsidR="00DC521C" w:rsidRPr="00BA612C">
        <w:rPr>
          <w:sz w:val="24"/>
          <w:szCs w:val="24"/>
        </w:rPr>
        <w:t xml:space="preserve"> for the general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4"/>
      </w:tblGrid>
      <w:tr w:rsidR="00B12ADE" w:rsidRPr="00BA612C" w14:paraId="182A1BD5" w14:textId="77777777" w:rsidTr="00610BA0">
        <w:tc>
          <w:tcPr>
            <w:tcW w:w="1667" w:type="pct"/>
            <w:shd w:val="clear" w:color="auto" w:fill="auto"/>
          </w:tcPr>
          <w:p w14:paraId="74F60152" w14:textId="77777777" w:rsidR="00B12ADE" w:rsidRPr="00BA612C" w:rsidRDefault="00B12ADE" w:rsidP="002723EC"/>
        </w:tc>
        <w:tc>
          <w:tcPr>
            <w:tcW w:w="1667" w:type="pct"/>
            <w:shd w:val="clear" w:color="auto" w:fill="auto"/>
          </w:tcPr>
          <w:p w14:paraId="1C9DA1C0" w14:textId="77777777" w:rsidR="00B12ADE" w:rsidRPr="00BA612C" w:rsidRDefault="00B12ADE" w:rsidP="002723EC">
            <w:r w:rsidRPr="00BA612C">
              <w:t>Europe 2020 targets</w:t>
            </w:r>
          </w:p>
        </w:tc>
        <w:tc>
          <w:tcPr>
            <w:tcW w:w="1666" w:type="pct"/>
            <w:shd w:val="clear" w:color="auto" w:fill="auto"/>
          </w:tcPr>
          <w:p w14:paraId="6652F912" w14:textId="77777777" w:rsidR="00B12ADE" w:rsidRPr="00BA612C" w:rsidRDefault="00B12ADE" w:rsidP="002723EC">
            <w:r w:rsidRPr="00BA612C">
              <w:t>National targets</w:t>
            </w:r>
            <w:r w:rsidR="00DC521C" w:rsidRPr="00BA612C">
              <w:rPr>
                <w:rStyle w:val="FootnoteReference"/>
                <w:b/>
                <w:bCs/>
              </w:rPr>
              <w:footnoteReference w:id="4"/>
            </w:r>
          </w:p>
        </w:tc>
      </w:tr>
      <w:tr w:rsidR="00B12ADE" w:rsidRPr="00BA612C" w14:paraId="59966F25" w14:textId="77777777" w:rsidTr="00610BA0">
        <w:tc>
          <w:tcPr>
            <w:tcW w:w="1667" w:type="pct"/>
            <w:shd w:val="clear" w:color="auto" w:fill="auto"/>
          </w:tcPr>
          <w:p w14:paraId="227A6A43" w14:textId="77777777" w:rsidR="00B12ADE" w:rsidRPr="00BA612C" w:rsidRDefault="00B12ADE" w:rsidP="002723EC">
            <w:r w:rsidRPr="00BA612C">
              <w:t>Employment</w:t>
            </w:r>
          </w:p>
        </w:tc>
        <w:tc>
          <w:tcPr>
            <w:tcW w:w="1667" w:type="pct"/>
            <w:shd w:val="clear" w:color="auto" w:fill="auto"/>
          </w:tcPr>
          <w:p w14:paraId="4D4B4270" w14:textId="77777777" w:rsidR="00B12ADE" w:rsidRPr="00BA612C" w:rsidRDefault="00B12ADE" w:rsidP="002723EC">
            <w:r w:rsidRPr="00BA612C">
              <w:t>75% of the 20-64 year-olds to be employed</w:t>
            </w:r>
          </w:p>
        </w:tc>
        <w:tc>
          <w:tcPr>
            <w:tcW w:w="1666" w:type="pct"/>
            <w:shd w:val="clear" w:color="auto" w:fill="auto"/>
          </w:tcPr>
          <w:p w14:paraId="5B40A212" w14:textId="2614BEAA" w:rsidR="00B12ADE" w:rsidRPr="00BA612C" w:rsidRDefault="00F12E87" w:rsidP="002723EC">
            <w:r w:rsidRPr="00BA612C">
              <w:t>77-78%</w:t>
            </w:r>
          </w:p>
        </w:tc>
      </w:tr>
      <w:tr w:rsidR="00B12ADE" w:rsidRPr="00BA612C" w14:paraId="637718CD" w14:textId="77777777" w:rsidTr="00610BA0">
        <w:tc>
          <w:tcPr>
            <w:tcW w:w="1667" w:type="pct"/>
            <w:vMerge w:val="restart"/>
            <w:shd w:val="clear" w:color="auto" w:fill="auto"/>
          </w:tcPr>
          <w:p w14:paraId="7B32B9C7" w14:textId="77777777" w:rsidR="00B12ADE" w:rsidRPr="00BA612C" w:rsidRDefault="00B12ADE" w:rsidP="002723EC">
            <w:r w:rsidRPr="00BA612C">
              <w:t>Education</w:t>
            </w:r>
          </w:p>
        </w:tc>
        <w:tc>
          <w:tcPr>
            <w:tcW w:w="1667" w:type="pct"/>
            <w:shd w:val="clear" w:color="auto" w:fill="auto"/>
          </w:tcPr>
          <w:p w14:paraId="640DF13D" w14:textId="77777777" w:rsidR="00B12ADE" w:rsidRPr="00BA612C" w:rsidRDefault="00B12ADE" w:rsidP="002723EC">
            <w:r w:rsidRPr="00BA612C">
              <w:t>Reducing the rates of early school leaving below 10%</w:t>
            </w:r>
          </w:p>
        </w:tc>
        <w:tc>
          <w:tcPr>
            <w:tcW w:w="1666" w:type="pct"/>
            <w:shd w:val="clear" w:color="auto" w:fill="auto"/>
          </w:tcPr>
          <w:p w14:paraId="05ECAB5F" w14:textId="269535C9" w:rsidR="00F12E87" w:rsidRPr="00BA612C" w:rsidRDefault="00F12E87" w:rsidP="002723EC">
            <w:r w:rsidRPr="00BA612C">
              <w:t>9.5%</w:t>
            </w:r>
          </w:p>
        </w:tc>
      </w:tr>
      <w:tr w:rsidR="00B12ADE" w:rsidRPr="00BA612C" w14:paraId="35FD8B97" w14:textId="77777777" w:rsidTr="00610BA0">
        <w:tc>
          <w:tcPr>
            <w:tcW w:w="1667" w:type="pct"/>
            <w:vMerge/>
            <w:shd w:val="clear" w:color="auto" w:fill="auto"/>
          </w:tcPr>
          <w:p w14:paraId="6AFF60A3" w14:textId="203EDC46" w:rsidR="00B12ADE" w:rsidRPr="00BA612C" w:rsidRDefault="00B12ADE" w:rsidP="002723EC"/>
        </w:tc>
        <w:tc>
          <w:tcPr>
            <w:tcW w:w="1667" w:type="pct"/>
            <w:shd w:val="clear" w:color="auto" w:fill="auto"/>
          </w:tcPr>
          <w:p w14:paraId="622B4A32" w14:textId="77777777" w:rsidR="00B12ADE" w:rsidRPr="00BA612C" w:rsidRDefault="00B12ADE" w:rsidP="002723EC">
            <w:r w:rsidRPr="00BA612C">
              <w:t>At least 40% of 30-34–year-olds completing third level education</w:t>
            </w:r>
          </w:p>
        </w:tc>
        <w:tc>
          <w:tcPr>
            <w:tcW w:w="1666" w:type="pct"/>
            <w:shd w:val="clear" w:color="auto" w:fill="auto"/>
          </w:tcPr>
          <w:p w14:paraId="7C6B66E7" w14:textId="77777777" w:rsidR="00F12E87" w:rsidRPr="00BA612C" w:rsidRDefault="00F12E87" w:rsidP="002723EC">
            <w:r w:rsidRPr="00BA612C">
              <w:t xml:space="preserve">38% </w:t>
            </w:r>
          </w:p>
          <w:p w14:paraId="31CA391B" w14:textId="3F57B736" w:rsidR="00B12ADE" w:rsidRPr="00BA612C" w:rsidRDefault="00F12E87" w:rsidP="002723EC">
            <w:r w:rsidRPr="00BA612C">
              <w:t>(including ISCED 4/4a)</w:t>
            </w:r>
          </w:p>
        </w:tc>
      </w:tr>
      <w:tr w:rsidR="00B12ADE" w:rsidRPr="00BA612C" w14:paraId="410F4121" w14:textId="77777777" w:rsidTr="00610BA0">
        <w:tc>
          <w:tcPr>
            <w:tcW w:w="1667" w:type="pct"/>
            <w:shd w:val="clear" w:color="auto" w:fill="auto"/>
          </w:tcPr>
          <w:p w14:paraId="5AE0DDF8" w14:textId="77777777" w:rsidR="00B12ADE" w:rsidRPr="00BA612C" w:rsidRDefault="00B12ADE" w:rsidP="002723EC">
            <w:r w:rsidRPr="00BA612C">
              <w:t>Fighting poverty and social exclusion</w:t>
            </w:r>
          </w:p>
        </w:tc>
        <w:tc>
          <w:tcPr>
            <w:tcW w:w="1667" w:type="pct"/>
            <w:shd w:val="clear" w:color="auto" w:fill="auto"/>
          </w:tcPr>
          <w:p w14:paraId="7FB0632F" w14:textId="77777777" w:rsidR="00B12ADE" w:rsidRPr="00BA612C" w:rsidRDefault="00B12ADE" w:rsidP="002723EC">
            <w:r w:rsidRPr="00BA612C">
              <w:t>At least 20 million fewer people in or at risk of poverty and social exclusion</w:t>
            </w:r>
          </w:p>
        </w:tc>
        <w:tc>
          <w:tcPr>
            <w:tcW w:w="1666" w:type="pct"/>
            <w:shd w:val="clear" w:color="auto" w:fill="auto"/>
          </w:tcPr>
          <w:p w14:paraId="2CD9F816" w14:textId="231C5FDF" w:rsidR="00B12ADE" w:rsidRPr="00BA612C" w:rsidRDefault="00F12E87" w:rsidP="002723EC">
            <w:r w:rsidRPr="00BA612C">
              <w:t>235,000</w:t>
            </w:r>
          </w:p>
        </w:tc>
      </w:tr>
    </w:tbl>
    <w:p w14:paraId="4BF96342" w14:textId="77777777" w:rsidR="00C7318C" w:rsidRPr="00BA612C" w:rsidRDefault="00C7318C" w:rsidP="002723EC"/>
    <w:p w14:paraId="0142605D" w14:textId="1E4162EC" w:rsidR="000336BD" w:rsidRPr="00BA612C" w:rsidRDefault="00C13B17" w:rsidP="002723EC">
      <w:pPr>
        <w:pStyle w:val="Un-numberedsubheading"/>
        <w:spacing w:after="0"/>
      </w:pPr>
      <w:r w:rsidRPr="00BA612C">
        <w:t>R</w:t>
      </w:r>
      <w:r w:rsidR="00A01CD2" w:rsidRPr="00BA612C">
        <w:t>elevant</w:t>
      </w:r>
      <w:r w:rsidR="00DC521C" w:rsidRPr="00BA612C">
        <w:t xml:space="preserve"> </w:t>
      </w:r>
      <w:r w:rsidR="000336BD" w:rsidRPr="00BA612C">
        <w:t>disability</w:t>
      </w:r>
      <w:r w:rsidR="004E5CCD" w:rsidRPr="00BA612C">
        <w:t xml:space="preserve"> </w:t>
      </w:r>
      <w:r w:rsidR="000336BD" w:rsidRPr="00BA612C">
        <w:t>ta</w:t>
      </w:r>
      <w:r w:rsidR="000336BD" w:rsidRPr="00BA612C">
        <w:rPr>
          <w:rStyle w:val="Un-numberedsubheadingChar"/>
        </w:rPr>
        <w:t>r</w:t>
      </w:r>
      <w:r w:rsidR="000336BD" w:rsidRPr="00BA612C">
        <w:t>gets</w:t>
      </w:r>
      <w:r w:rsidR="00DC521C" w:rsidRPr="00BA612C">
        <w:t xml:space="preserve"> from national </w:t>
      </w:r>
      <w:r w:rsidR="005E1C80" w:rsidRPr="00BA612C">
        <w:t xml:space="preserve">strategies or </w:t>
      </w:r>
      <w:r w:rsidR="00DC521C" w:rsidRPr="00BA612C">
        <w:t>sources</w:t>
      </w:r>
      <w:r w:rsidR="000336BD" w:rsidRPr="00BA612C">
        <w:t>:</w:t>
      </w:r>
    </w:p>
    <w:p w14:paraId="445FDDC0" w14:textId="77777777" w:rsidR="00BA612C" w:rsidRDefault="00BA612C" w:rsidP="002723EC"/>
    <w:p w14:paraId="07229505" w14:textId="46C31094" w:rsidR="00DE0B09" w:rsidRPr="00BA612C" w:rsidRDefault="00DE0B09" w:rsidP="002723EC">
      <w:r w:rsidRPr="00BA612C">
        <w:t>The Na</w:t>
      </w:r>
      <w:r w:rsidR="00522C31" w:rsidRPr="00BA612C">
        <w:t>tional Action Plan D</w:t>
      </w:r>
      <w:r w:rsidRPr="00BA612C">
        <w:t>isability 2012-2020</w:t>
      </w:r>
      <w:r w:rsidRPr="00BA612C">
        <w:rPr>
          <w:rStyle w:val="FootnoteReference"/>
        </w:rPr>
        <w:footnoteReference w:id="5"/>
      </w:r>
      <w:r w:rsidRPr="00BA612C">
        <w:t xml:space="preserve"> </w:t>
      </w:r>
      <w:r w:rsidR="00522C31" w:rsidRPr="00BA612C">
        <w:t xml:space="preserve">(NAP) </w:t>
      </w:r>
      <w:r w:rsidRPr="00BA612C">
        <w:t>includes</w:t>
      </w:r>
      <w:r w:rsidR="00543030" w:rsidRPr="00BA612C">
        <w:t xml:space="preserve"> a range of relevant policy goals, relevant to employment, education and poverty or social exclusion, but few are quantified as indicators or targets</w:t>
      </w:r>
      <w:r w:rsidRPr="00BA612C">
        <w:t>:</w:t>
      </w:r>
    </w:p>
    <w:p w14:paraId="54BB8B3A" w14:textId="77777777" w:rsidR="00DE0B09" w:rsidRPr="00BA612C" w:rsidRDefault="00DE0B09" w:rsidP="002723EC"/>
    <w:p w14:paraId="39D90291" w14:textId="2312A9D2" w:rsidR="00DE0B09" w:rsidRDefault="00DE0B09" w:rsidP="002723EC">
      <w:r w:rsidRPr="00BA612C">
        <w:rPr>
          <w:b/>
        </w:rPr>
        <w:t>Employment</w:t>
      </w:r>
    </w:p>
    <w:p w14:paraId="1E099C62" w14:textId="77777777" w:rsidR="00BA612C" w:rsidRPr="00BA612C" w:rsidRDefault="00BA612C" w:rsidP="002723EC"/>
    <w:p w14:paraId="55444DFD" w14:textId="77777777" w:rsidR="00DE0B09" w:rsidRPr="00BA612C" w:rsidRDefault="00DE0B09" w:rsidP="002723EC">
      <w:pPr>
        <w:pStyle w:val="ListParagraph"/>
        <w:numPr>
          <w:ilvl w:val="0"/>
          <w:numId w:val="24"/>
        </w:numPr>
        <w:ind w:left="567" w:hanging="567"/>
      </w:pPr>
      <w:r w:rsidRPr="00BA612C">
        <w:t>Unemployment among people with disabilities should be reduced.</w:t>
      </w:r>
    </w:p>
    <w:p w14:paraId="3870D088" w14:textId="77777777" w:rsidR="00DE0B09" w:rsidRPr="00BA612C" w:rsidRDefault="00DE0B09" w:rsidP="002723EC">
      <w:pPr>
        <w:pStyle w:val="ListParagraph"/>
        <w:numPr>
          <w:ilvl w:val="0"/>
          <w:numId w:val="24"/>
        </w:numPr>
        <w:ind w:left="567" w:hanging="567"/>
      </w:pPr>
      <w:r w:rsidRPr="00BA612C">
        <w:t>All people with disabilities should have the opportunity to receive independent advice on work-related issues – particularly in the form of peer counselling by people who are affected themselves.</w:t>
      </w:r>
    </w:p>
    <w:p w14:paraId="5AFCC147" w14:textId="77777777" w:rsidR="00DE0B09" w:rsidRPr="00BA612C" w:rsidRDefault="00DE0B09" w:rsidP="002723EC">
      <w:pPr>
        <w:pStyle w:val="ListParagraph"/>
        <w:numPr>
          <w:ilvl w:val="0"/>
          <w:numId w:val="24"/>
        </w:numPr>
        <w:ind w:left="567" w:hanging="567"/>
      </w:pPr>
      <w:r w:rsidRPr="00BA612C">
        <w:t>In all issues related to training and employment, special attention must be paid to the special form of the respective disability.</w:t>
      </w:r>
    </w:p>
    <w:p w14:paraId="2D8FB2C3" w14:textId="77777777" w:rsidR="00DE0B09" w:rsidRPr="00BA612C" w:rsidRDefault="00DE0B09" w:rsidP="002723EC">
      <w:pPr>
        <w:pStyle w:val="ListParagraph"/>
        <w:numPr>
          <w:ilvl w:val="0"/>
          <w:numId w:val="24"/>
        </w:numPr>
        <w:ind w:left="567" w:hanging="567"/>
      </w:pPr>
      <w:r w:rsidRPr="00BA612C">
        <w:t>In the interest of inclusive employment, pilot schemes for permeability should be developed and evaluated which ensure that people with disabilities can gradually find their way (back) into working life while maintaining – as far as possible – the support they receive via income replacement benefits. In this context, it should be ensured that transfer payments can be restored after an attempt to work in the primary labour market.</w:t>
      </w:r>
    </w:p>
    <w:p w14:paraId="7CC9A0E1" w14:textId="77777777" w:rsidR="00DE0B09" w:rsidRPr="00BA612C" w:rsidRDefault="00DE0B09" w:rsidP="002723EC">
      <w:pPr>
        <w:pStyle w:val="ListParagraph"/>
        <w:numPr>
          <w:ilvl w:val="0"/>
          <w:numId w:val="24"/>
        </w:numPr>
        <w:ind w:left="567" w:hanging="567"/>
      </w:pPr>
      <w:r w:rsidRPr="00BA612C">
        <w:lastRenderedPageBreak/>
        <w:t>In order to ensure that people with disabilities can participate fully in employment, the approaches of disability mainstreaming and the specialisation of job offers should be meaningfully linked.</w:t>
      </w:r>
    </w:p>
    <w:p w14:paraId="5E2DC0DC" w14:textId="77777777" w:rsidR="00DE0B09" w:rsidRPr="00BA612C" w:rsidRDefault="00DE0B09" w:rsidP="002723EC">
      <w:pPr>
        <w:pStyle w:val="ListParagraph"/>
        <w:numPr>
          <w:ilvl w:val="0"/>
          <w:numId w:val="24"/>
        </w:numPr>
        <w:ind w:left="567" w:hanging="567"/>
      </w:pPr>
      <w:r w:rsidRPr="00BA612C">
        <w:t>The future of integrative companies should be ensured by means of structural adjustments.</w:t>
      </w:r>
    </w:p>
    <w:p w14:paraId="1C4CB222" w14:textId="77777777" w:rsidR="00DE0B09" w:rsidRPr="00BA612C" w:rsidRDefault="00DE0B09" w:rsidP="002723EC">
      <w:pPr>
        <w:pStyle w:val="ListParagraph"/>
        <w:numPr>
          <w:ilvl w:val="0"/>
          <w:numId w:val="24"/>
        </w:numPr>
        <w:ind w:left="567" w:hanging="567"/>
      </w:pPr>
      <w:r w:rsidRPr="00BA612C">
        <w:t>Integrative companies should be awarded more government contracts.</w:t>
      </w:r>
    </w:p>
    <w:p w14:paraId="4B12A285" w14:textId="0367D547" w:rsidR="005E1C80" w:rsidRPr="00BA612C" w:rsidRDefault="00DE0B09" w:rsidP="002723EC">
      <w:pPr>
        <w:pStyle w:val="ListParagraph"/>
        <w:numPr>
          <w:ilvl w:val="0"/>
          <w:numId w:val="24"/>
        </w:numPr>
        <w:ind w:left="567" w:hanging="567"/>
      </w:pPr>
      <w:r w:rsidRPr="00BA612C">
        <w:t>Consideration should be given to people with disabilities when creating a modern uniform term for employees.</w:t>
      </w:r>
    </w:p>
    <w:p w14:paraId="416DB306" w14:textId="77777777" w:rsidR="00A94438" w:rsidRPr="00BA612C" w:rsidRDefault="00A94438" w:rsidP="00A94438"/>
    <w:p w14:paraId="04815BA8" w14:textId="1EDAFE9A" w:rsidR="00E552F3" w:rsidRPr="00BA612C" w:rsidRDefault="00E44BA2" w:rsidP="002723EC">
      <w:pPr>
        <w:rPr>
          <w:b/>
        </w:rPr>
      </w:pPr>
      <w:r w:rsidRPr="00BA612C">
        <w:rPr>
          <w:b/>
        </w:rPr>
        <w:t>Education</w:t>
      </w:r>
    </w:p>
    <w:p w14:paraId="52662193" w14:textId="77777777" w:rsidR="0047358E" w:rsidRPr="00BA612C" w:rsidRDefault="0047358E" w:rsidP="002723EC"/>
    <w:p w14:paraId="2B83E10B" w14:textId="77777777" w:rsidR="00E44BA2" w:rsidRPr="00BA612C" w:rsidRDefault="00E44BA2" w:rsidP="002723EC">
      <w:r w:rsidRPr="00BA612C">
        <w:t>Early school leaving</w:t>
      </w:r>
    </w:p>
    <w:p w14:paraId="7D5D2B26" w14:textId="77777777" w:rsidR="00E44BA2" w:rsidRPr="00BA612C" w:rsidRDefault="00E44BA2" w:rsidP="002723EC">
      <w:pPr>
        <w:pStyle w:val="ListParagraph"/>
        <w:numPr>
          <w:ilvl w:val="0"/>
          <w:numId w:val="24"/>
        </w:numPr>
        <w:ind w:left="567" w:hanging="567"/>
      </w:pPr>
      <w:r w:rsidRPr="00BA612C">
        <w:t xml:space="preserve">Early school leaving is </w:t>
      </w:r>
      <w:r w:rsidRPr="00BA612C">
        <w:rPr>
          <w:b/>
        </w:rPr>
        <w:t xml:space="preserve">not </w:t>
      </w:r>
      <w:r w:rsidRPr="00BA612C">
        <w:t xml:space="preserve">mentioned in the NAP Disability 2012-2020. </w:t>
      </w:r>
    </w:p>
    <w:p w14:paraId="7A4D4DEF" w14:textId="77777777" w:rsidR="00E44BA2" w:rsidRPr="00BA612C" w:rsidRDefault="00E44BA2" w:rsidP="002723EC"/>
    <w:p w14:paraId="02B3B0DB" w14:textId="716F0D65" w:rsidR="00E44BA2" w:rsidRPr="00BA612C" w:rsidRDefault="00BA612C" w:rsidP="002723EC">
      <w:r>
        <w:t>Tertiary e</w:t>
      </w:r>
      <w:r w:rsidR="00E44BA2" w:rsidRPr="00BA612C">
        <w:t>ducation</w:t>
      </w:r>
    </w:p>
    <w:p w14:paraId="42946BBE" w14:textId="43508982" w:rsidR="00E44BA2" w:rsidRPr="00BA612C" w:rsidRDefault="00E44BA2" w:rsidP="002723EC">
      <w:pPr>
        <w:pStyle w:val="ListParagraph"/>
        <w:numPr>
          <w:ilvl w:val="0"/>
          <w:numId w:val="24"/>
        </w:numPr>
        <w:ind w:left="567" w:hanging="567"/>
      </w:pPr>
      <w:r w:rsidRPr="00BA612C">
        <w:t xml:space="preserve">The inclusion of students with disabilities should, within the framework of the </w:t>
      </w:r>
      <w:r w:rsidR="00654AE9" w:rsidRPr="00BA612C">
        <w:t xml:space="preserve">Austrian Universities Act as well as the performance </w:t>
      </w:r>
      <w:r w:rsidRPr="00BA612C">
        <w:t>agreements with the universities and the accompanying talks on their implementation, be increasingly made into an education policy goal.</w:t>
      </w:r>
    </w:p>
    <w:p w14:paraId="52F63BFB" w14:textId="77777777" w:rsidR="00E44BA2" w:rsidRPr="00BA612C" w:rsidRDefault="00E44BA2" w:rsidP="002723EC">
      <w:pPr>
        <w:pStyle w:val="ListParagraph"/>
        <w:numPr>
          <w:ilvl w:val="0"/>
          <w:numId w:val="24"/>
        </w:numPr>
        <w:ind w:left="567" w:hanging="567"/>
      </w:pPr>
      <w:r w:rsidRPr="00BA612C">
        <w:t>An essential aspect in this context is the creation of awareness for the inclusion of students with disabilities.</w:t>
      </w:r>
    </w:p>
    <w:p w14:paraId="4B67E280" w14:textId="619A935D" w:rsidR="00E44BA2" w:rsidRPr="00BA612C" w:rsidRDefault="00E44BA2" w:rsidP="002723EC">
      <w:pPr>
        <w:pStyle w:val="ListParagraph"/>
        <w:numPr>
          <w:ilvl w:val="0"/>
          <w:numId w:val="24"/>
        </w:numPr>
        <w:ind w:left="567" w:hanging="567"/>
      </w:pPr>
      <w:r w:rsidRPr="00BA612C">
        <w:t>Due to increasing demand, efforts should be made to expand the training of sign language interpreters and sign language teachers.</w:t>
      </w:r>
    </w:p>
    <w:p w14:paraId="4DFE2B92" w14:textId="77777777" w:rsidR="00E44BA2" w:rsidRPr="00BA612C" w:rsidRDefault="00E44BA2" w:rsidP="002723EC">
      <w:pPr>
        <w:pStyle w:val="ListParagraph"/>
        <w:ind w:left="0"/>
      </w:pPr>
    </w:p>
    <w:p w14:paraId="3CC724B9" w14:textId="0DF897E2" w:rsidR="00E44BA2" w:rsidRDefault="00E44BA2" w:rsidP="002723EC">
      <w:r w:rsidRPr="00BA612C">
        <w:rPr>
          <w:b/>
        </w:rPr>
        <w:t>Poverty and Social Exclusion</w:t>
      </w:r>
    </w:p>
    <w:p w14:paraId="14E76D68" w14:textId="77777777" w:rsidR="00BA612C" w:rsidRPr="00BA612C" w:rsidRDefault="00BA612C" w:rsidP="002723EC"/>
    <w:p w14:paraId="3ED8B056" w14:textId="77777777" w:rsidR="00E44BA2" w:rsidRPr="00BA612C" w:rsidRDefault="00E44BA2" w:rsidP="002723EC">
      <w:pPr>
        <w:pStyle w:val="ListParagraph"/>
        <w:numPr>
          <w:ilvl w:val="0"/>
          <w:numId w:val="24"/>
        </w:numPr>
        <w:ind w:left="567" w:hanging="567"/>
      </w:pPr>
      <w:r w:rsidRPr="00BA612C">
        <w:t>Understandable and accessible information and advice must be offered about all social benefits and services, also for people with learning disabilities.</w:t>
      </w:r>
    </w:p>
    <w:p w14:paraId="19F1B8FF" w14:textId="77777777" w:rsidR="00E44BA2" w:rsidRPr="00BA612C" w:rsidRDefault="00E44BA2" w:rsidP="002723EC">
      <w:pPr>
        <w:pStyle w:val="ListParagraph"/>
        <w:numPr>
          <w:ilvl w:val="0"/>
          <w:numId w:val="24"/>
        </w:numPr>
        <w:ind w:left="567" w:hanging="567"/>
      </w:pPr>
      <w:r w:rsidRPr="00BA612C">
        <w:t>People with disabilities should receive special consideration in all measures to avoid and reduce poverty.</w:t>
      </w:r>
    </w:p>
    <w:p w14:paraId="6952DBBC" w14:textId="60A35C4F" w:rsidR="00E44BA2" w:rsidRPr="00BA612C" w:rsidRDefault="00E44BA2" w:rsidP="002723EC">
      <w:pPr>
        <w:pStyle w:val="ListParagraph"/>
        <w:numPr>
          <w:ilvl w:val="0"/>
          <w:numId w:val="24"/>
        </w:numPr>
        <w:ind w:left="567" w:hanging="567"/>
      </w:pPr>
      <w:r w:rsidRPr="00BA612C">
        <w:t>As people with disabilities are particularly threatened by poverty, they will benefit to an above-average extent from the advantages of the means-tested minimum income (BMS) (inclusion in statutory health insurance, limitations on recourse, an allowance for assets etc.)</w:t>
      </w:r>
      <w:r w:rsidR="00BA612C">
        <w:t>.</w:t>
      </w:r>
    </w:p>
    <w:p w14:paraId="2AC4B7FB" w14:textId="77777777" w:rsidR="00E44BA2" w:rsidRPr="00BA612C" w:rsidRDefault="00E44BA2" w:rsidP="002723EC">
      <w:pPr>
        <w:pStyle w:val="ListParagraph"/>
        <w:numPr>
          <w:ilvl w:val="0"/>
          <w:numId w:val="24"/>
        </w:numPr>
        <w:ind w:left="567" w:hanging="567"/>
      </w:pPr>
      <w:r w:rsidRPr="00BA612C">
        <w:t>The national reform programme for the implementation of the Europe 2020 Strategy aims to reduce the number of persons who are at risk of poverty and socially excluded by 235,000 or 16 % until 2020. This objective addresses above all sub-objective 2 (Combating long-term unemployment and improving the participation in employment of persons of working age at risk of poverty) and sub-objective 5 (Preventive health care in working life and improvement of labour market opportunities for people with disabilities). The following are cited: improved employment opportunities for recipients of BMS, focused measures for skills training and to obtain qualifications, health promotion measures and a labour market campaign for people whose health is impaired and for people with disabilities.</w:t>
      </w:r>
    </w:p>
    <w:p w14:paraId="57D2D540" w14:textId="77777777" w:rsidR="00E44BA2" w:rsidRPr="00BA612C" w:rsidRDefault="00E44BA2" w:rsidP="002723EC">
      <w:pPr>
        <w:rPr>
          <w:b/>
        </w:rPr>
      </w:pPr>
    </w:p>
    <w:p w14:paraId="4E4BD383" w14:textId="06E74BF2" w:rsidR="00E44BA2" w:rsidRPr="00BA612C" w:rsidRDefault="00F17F41" w:rsidP="002723EC">
      <w:r w:rsidRPr="00BA612C">
        <w:lastRenderedPageBreak/>
        <w:t xml:space="preserve">Still true in September 2016: </w:t>
      </w:r>
      <w:r w:rsidR="00E44BA2" w:rsidRPr="00BA612C">
        <w:t xml:space="preserve">No information or overview is publicly available on </w:t>
      </w:r>
      <w:r w:rsidR="00527F15" w:rsidRPr="00BA612C">
        <w:t xml:space="preserve">the </w:t>
      </w:r>
      <w:r w:rsidR="00E44BA2" w:rsidRPr="00BA612C">
        <w:t xml:space="preserve">progress </w:t>
      </w:r>
      <w:r w:rsidR="00527F15" w:rsidRPr="00BA612C">
        <w:t xml:space="preserve">of implementation </w:t>
      </w:r>
      <w:r w:rsidR="00522C31" w:rsidRPr="00BA612C">
        <w:t xml:space="preserve">with regard to these NAP-targets. </w:t>
      </w:r>
    </w:p>
    <w:p w14:paraId="6217B275" w14:textId="77777777" w:rsidR="008218B1" w:rsidRPr="00BA612C" w:rsidRDefault="008218B1" w:rsidP="002723EC"/>
    <w:p w14:paraId="328D8EFD" w14:textId="103CEB80" w:rsidR="00E44BA2" w:rsidRDefault="00522C31" w:rsidP="002723EC">
      <w:r w:rsidRPr="00BA612C">
        <w:t xml:space="preserve">In the </w:t>
      </w:r>
      <w:r w:rsidR="003A4B33" w:rsidRPr="00BA612C">
        <w:t xml:space="preserve">Austrian </w:t>
      </w:r>
      <w:r w:rsidRPr="00BA612C">
        <w:t xml:space="preserve">2015 NRP, </w:t>
      </w:r>
      <w:r w:rsidR="00E73DD9" w:rsidRPr="00BA612C">
        <w:t>no disability specific targets</w:t>
      </w:r>
      <w:r w:rsidR="00B55AE9" w:rsidRPr="00BA612C">
        <w:t xml:space="preserve">, </w:t>
      </w:r>
      <w:r w:rsidR="00AF1509" w:rsidRPr="00BA612C">
        <w:t xml:space="preserve">addressed in Table 1 </w:t>
      </w:r>
      <w:r w:rsidR="00E952A7" w:rsidRPr="00BA612C">
        <w:t xml:space="preserve">(above) </w:t>
      </w:r>
      <w:r w:rsidR="00CE33B4" w:rsidRPr="00BA612C">
        <w:t>in the und</w:t>
      </w:r>
      <w:r w:rsidR="00AF1509" w:rsidRPr="00BA612C">
        <w:t xml:space="preserve">erlying report </w:t>
      </w:r>
      <w:r w:rsidR="00E73DD9" w:rsidRPr="00BA612C">
        <w:t>that relate to employment, education, poverty and social exclusion are mentioned.</w:t>
      </w:r>
    </w:p>
    <w:p w14:paraId="0C234267" w14:textId="77777777" w:rsidR="00BA612C" w:rsidRPr="00BA612C" w:rsidRDefault="00BA612C" w:rsidP="002723EC"/>
    <w:p w14:paraId="63121F48" w14:textId="77777777" w:rsidR="005C75D8" w:rsidRPr="00BA612C" w:rsidRDefault="005C75D8" w:rsidP="002723EC">
      <w:pPr>
        <w:pStyle w:val="Heading3"/>
      </w:pPr>
      <w:bookmarkStart w:id="6" w:name="_Toc429999634"/>
      <w:bookmarkStart w:id="7" w:name="_Toc483400168"/>
      <w:r w:rsidRPr="00BA612C">
        <w:t xml:space="preserve">A note on </w:t>
      </w:r>
      <w:r w:rsidR="00092B8F" w:rsidRPr="00BA612C">
        <w:t xml:space="preserve">the use of </w:t>
      </w:r>
      <w:r w:rsidR="002E420B" w:rsidRPr="00BA612C">
        <w:t>EU</w:t>
      </w:r>
      <w:r w:rsidR="00092B8F" w:rsidRPr="00BA612C">
        <w:t xml:space="preserve"> </w:t>
      </w:r>
      <w:r w:rsidRPr="00BA612C">
        <w:t>data</w:t>
      </w:r>
      <w:bookmarkEnd w:id="6"/>
      <w:bookmarkEnd w:id="7"/>
    </w:p>
    <w:p w14:paraId="4869858B" w14:textId="77777777" w:rsidR="00E552F3" w:rsidRPr="00BA612C" w:rsidRDefault="00E552F3" w:rsidP="002723EC">
      <w:pPr>
        <w:pStyle w:val="BodyText"/>
        <w:spacing w:after="0"/>
      </w:pPr>
    </w:p>
    <w:p w14:paraId="35315013" w14:textId="50266082" w:rsidR="00623E3E" w:rsidRPr="00BA612C" w:rsidRDefault="00623E3E" w:rsidP="002723EC">
      <w:pPr>
        <w:pStyle w:val="BodyText"/>
        <w:spacing w:after="0"/>
      </w:pPr>
      <w:r w:rsidRPr="00BA612C">
        <w:t>Unless specified, the summary statistics presented in this report are drawn from 2014 EU-SILC micro data.</w:t>
      </w:r>
      <w:r w:rsidRPr="00BA612C">
        <w:rPr>
          <w:rStyle w:val="FootnoteReference"/>
        </w:rPr>
        <w:footnoteReference w:id="6"/>
      </w:r>
      <w:r w:rsidRPr="00BA612C">
        <w:t xml:space="preserve"> The EU-SILC sample includes people living in private households and does not include people living in institutions. The proxy used to identify people with disabilities (impairments) is whether ‘for at least the past 6 months’ the respondent reports that they have been ‘limited because of a health problem in activities people usually do’.</w:t>
      </w:r>
      <w:r w:rsidRPr="00BA612C">
        <w:rPr>
          <w:rStyle w:val="FootnoteReference"/>
        </w:rPr>
        <w:footnoteReference w:id="7"/>
      </w:r>
      <w:r w:rsidRPr="00BA612C">
        <w:t xml:space="preserve"> Responses to this question vary between countries and national data sources are added for comparison, where available.</w:t>
      </w:r>
    </w:p>
    <w:p w14:paraId="6B513D15" w14:textId="77777777" w:rsidR="002723EC" w:rsidRPr="00BA612C" w:rsidRDefault="002723EC" w:rsidP="002723EC">
      <w:pPr>
        <w:pStyle w:val="BodyText"/>
        <w:spacing w:after="0"/>
      </w:pPr>
    </w:p>
    <w:p w14:paraId="3FD9A7B1" w14:textId="01A7470E" w:rsidR="00623E3E" w:rsidRPr="00BA612C" w:rsidRDefault="00623E3E" w:rsidP="002723EC">
      <w:pPr>
        <w:pStyle w:val="Caption"/>
        <w:rPr>
          <w:sz w:val="24"/>
          <w:szCs w:val="24"/>
        </w:rPr>
      </w:pPr>
      <w:r w:rsidRPr="00BA612C">
        <w:rPr>
          <w:sz w:val="24"/>
          <w:szCs w:val="24"/>
        </w:rPr>
        <w:t xml:space="preserve">Table </w:t>
      </w:r>
      <w:r w:rsidR="0001019B" w:rsidRPr="00BA612C">
        <w:rPr>
          <w:sz w:val="24"/>
          <w:szCs w:val="24"/>
        </w:rPr>
        <w:fldChar w:fldCharType="begin"/>
      </w:r>
      <w:r w:rsidR="0001019B" w:rsidRPr="00BA612C">
        <w:rPr>
          <w:sz w:val="24"/>
          <w:szCs w:val="24"/>
        </w:rPr>
        <w:instrText xml:space="preserve"> SEQ Table \* ARABIC </w:instrText>
      </w:r>
      <w:r w:rsidR="0001019B" w:rsidRPr="00BA612C">
        <w:rPr>
          <w:sz w:val="24"/>
          <w:szCs w:val="24"/>
        </w:rPr>
        <w:fldChar w:fldCharType="separate"/>
      </w:r>
      <w:r w:rsidR="009A3178">
        <w:rPr>
          <w:noProof/>
          <w:sz w:val="24"/>
          <w:szCs w:val="24"/>
        </w:rPr>
        <w:t>2</w:t>
      </w:r>
      <w:r w:rsidR="0001019B" w:rsidRPr="00BA612C">
        <w:rPr>
          <w:noProof/>
          <w:sz w:val="24"/>
          <w:szCs w:val="24"/>
        </w:rPr>
        <w:fldChar w:fldCharType="end"/>
      </w:r>
      <w:r w:rsidRPr="00BA612C">
        <w:rPr>
          <w:sz w:val="24"/>
          <w:szCs w:val="24"/>
        </w:rPr>
        <w:t>: Self-reported ‘activity limitations’ as a proxy for impairment/disability (EU-SILC 2014)</w:t>
      </w:r>
    </w:p>
    <w:p w14:paraId="1C031362" w14:textId="77777777" w:rsidR="00623E3E" w:rsidRPr="00BA612C" w:rsidRDefault="00623E3E" w:rsidP="002723EC">
      <w:r w:rsidRPr="00BA612C">
        <w:rPr>
          <w:noProof/>
          <w:lang w:val="nl-NL" w:eastAsia="nl-NL"/>
        </w:rPr>
        <w:drawing>
          <wp:inline distT="0" distB="0" distL="0" distR="0" wp14:anchorId="0C67099C" wp14:editId="0CA4F598">
            <wp:extent cx="5583044" cy="4222595"/>
            <wp:effectExtent l="0" t="0" r="0" b="698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D0B6786" w14:textId="77777777" w:rsidR="00623E3E" w:rsidRPr="00BA612C" w:rsidRDefault="00623E3E" w:rsidP="002723EC">
      <w:pPr>
        <w:pStyle w:val="Sourcereference"/>
        <w:spacing w:after="0"/>
        <w:rPr>
          <w:lang w:eastAsia="en-GB"/>
        </w:rPr>
      </w:pPr>
      <w:r w:rsidRPr="00BA612C">
        <w:t xml:space="preserve">Source: </w:t>
      </w:r>
      <w:r w:rsidRPr="00BA612C">
        <w:rPr>
          <w:lang w:eastAsia="en-GB"/>
        </w:rPr>
        <w:t>EUSILC UDB 2014 – version 2 of August 2016</w:t>
      </w:r>
    </w:p>
    <w:p w14:paraId="2F6E7687" w14:textId="1575B4AE" w:rsidR="008E363B" w:rsidRPr="00BA612C" w:rsidRDefault="008E363B" w:rsidP="002723EC">
      <w:pPr>
        <w:pStyle w:val="Sourcereference"/>
        <w:spacing w:after="0"/>
        <w:rPr>
          <w:lang w:eastAsia="en-GB"/>
        </w:rPr>
      </w:pPr>
      <w:r w:rsidRPr="00BA612C">
        <w:rPr>
          <w:lang w:eastAsia="en-GB"/>
        </w:rPr>
        <w:t>It should be noted that Austrian estimates for persons with limitations fall above the EU average, notably for persons of working age, and this may affect estimations of national equality gaps also.</w:t>
      </w:r>
    </w:p>
    <w:p w14:paraId="5FA139F8" w14:textId="77777777" w:rsidR="002723EC" w:rsidRPr="00BA612C" w:rsidRDefault="002723EC" w:rsidP="002723EC">
      <w:pPr>
        <w:pStyle w:val="Sourcereference"/>
        <w:spacing w:after="0"/>
        <w:rPr>
          <w:lang w:eastAsia="en-GB"/>
        </w:rPr>
      </w:pPr>
    </w:p>
    <w:p w14:paraId="798F601C" w14:textId="77777777" w:rsidR="00623E3E" w:rsidRPr="00BA612C" w:rsidRDefault="00623E3E" w:rsidP="002723EC">
      <w:pPr>
        <w:pStyle w:val="BodyText"/>
        <w:spacing w:after="0"/>
        <w:rPr>
          <w:rFonts w:eastAsiaTheme="majorEastAsia"/>
          <w:b/>
          <w:bCs/>
        </w:rPr>
      </w:pPr>
      <w:r w:rsidRPr="00BA612C">
        <w:t>In subsequent tables, these data are used as a proxy to estimate ‘disability’ equality in the main target areas for EU2020 – employment, education and poverty risk.</w:t>
      </w:r>
      <w:r w:rsidRPr="00BA612C">
        <w:rPr>
          <w:rStyle w:val="FootnoteReference"/>
        </w:rPr>
        <w:footnoteReference w:id="8"/>
      </w:r>
      <w:r w:rsidRPr="00BA612C">
        <w:t xml:space="preserve"> The tables are presented by disaggregating the estimated proportion of people who report and do not report limitations for each indicator (e.g. among those who are employed, unemployed, at risk of poverty, etc.).</w:t>
      </w:r>
    </w:p>
    <w:p w14:paraId="0E51F49F" w14:textId="77777777" w:rsidR="004E4464" w:rsidRPr="00BA612C" w:rsidRDefault="004E4464" w:rsidP="002723EC">
      <w:pPr>
        <w:pStyle w:val="BodyText"/>
        <w:spacing w:after="0"/>
      </w:pPr>
    </w:p>
    <w:p w14:paraId="192DC453" w14:textId="1FB58C7E" w:rsidR="004E4464" w:rsidRPr="00BA612C" w:rsidRDefault="004E4464" w:rsidP="002723EC">
      <w:pPr>
        <w:pStyle w:val="BodyText"/>
        <w:spacing w:after="0"/>
        <w:rPr>
          <w:rFonts w:eastAsiaTheme="majorEastAsia"/>
          <w:b/>
          <w:bCs/>
        </w:rPr>
      </w:pPr>
      <w:r w:rsidRPr="00BA612C">
        <w:t xml:space="preserve">Comment on the reliability of EUSILC to estimate persons with disabilities: The question focusing on self-reported activity limitation corresponds to the </w:t>
      </w:r>
      <w:r w:rsidR="00540228" w:rsidRPr="00BA612C">
        <w:t>CRPD</w:t>
      </w:r>
      <w:r w:rsidRPr="00BA612C">
        <w:t xml:space="preserve"> but not to national definitions. The results of EUSILC correspond to the results of the national survey on health status (2006) according to which about one third of Austrian population aged 15+ is limited in daily activities (8% of men and 10% of women are strongly limited). </w:t>
      </w:r>
    </w:p>
    <w:p w14:paraId="16C18591" w14:textId="77777777" w:rsidR="004E4464" w:rsidRPr="00BA612C" w:rsidRDefault="004E4464" w:rsidP="002723EC">
      <w:pPr>
        <w:pStyle w:val="BodyText"/>
        <w:spacing w:after="0"/>
        <w:rPr>
          <w:rFonts w:eastAsiaTheme="majorEastAsia"/>
          <w:b/>
          <w:bCs/>
        </w:rPr>
      </w:pPr>
    </w:p>
    <w:p w14:paraId="0E19D749" w14:textId="424071C2" w:rsidR="00BC5855" w:rsidRPr="00BA612C" w:rsidRDefault="000D320A" w:rsidP="002723EC">
      <w:pPr>
        <w:pStyle w:val="Heading2"/>
        <w:rPr>
          <w:szCs w:val="24"/>
        </w:rPr>
      </w:pPr>
      <w:bookmarkStart w:id="8" w:name="_Toc429999635"/>
      <w:bookmarkStart w:id="9" w:name="_Toc483400169"/>
      <w:r w:rsidRPr="00BA612C">
        <w:rPr>
          <w:szCs w:val="24"/>
        </w:rPr>
        <w:t xml:space="preserve">Employment </w:t>
      </w:r>
      <w:r w:rsidR="00D72CA8" w:rsidRPr="00BA612C">
        <w:rPr>
          <w:szCs w:val="24"/>
        </w:rPr>
        <w:t>data</w:t>
      </w:r>
      <w:bookmarkEnd w:id="8"/>
      <w:bookmarkEnd w:id="9"/>
    </w:p>
    <w:p w14:paraId="3D58F5B8" w14:textId="77777777" w:rsidR="002723EC" w:rsidRPr="00BA612C" w:rsidRDefault="002723EC" w:rsidP="002723EC"/>
    <w:p w14:paraId="0259A981" w14:textId="7686083B" w:rsidR="00623E3E" w:rsidRPr="00BA612C" w:rsidRDefault="00623E3E" w:rsidP="002723EC">
      <w:pPr>
        <w:pStyle w:val="Caption"/>
        <w:keepNext/>
        <w:rPr>
          <w:sz w:val="24"/>
          <w:szCs w:val="24"/>
        </w:rPr>
      </w:pPr>
      <w:r w:rsidRPr="00BA612C">
        <w:rPr>
          <w:sz w:val="24"/>
          <w:szCs w:val="24"/>
        </w:rPr>
        <w:t xml:space="preserve">Table </w:t>
      </w:r>
      <w:r w:rsidR="0001019B" w:rsidRPr="00BA612C">
        <w:rPr>
          <w:sz w:val="24"/>
          <w:szCs w:val="24"/>
        </w:rPr>
        <w:fldChar w:fldCharType="begin"/>
      </w:r>
      <w:r w:rsidR="0001019B" w:rsidRPr="00BA612C">
        <w:rPr>
          <w:sz w:val="24"/>
          <w:szCs w:val="24"/>
        </w:rPr>
        <w:instrText xml:space="preserve"> SEQ Table \* ARABIC </w:instrText>
      </w:r>
      <w:r w:rsidR="0001019B" w:rsidRPr="00BA612C">
        <w:rPr>
          <w:sz w:val="24"/>
          <w:szCs w:val="24"/>
        </w:rPr>
        <w:fldChar w:fldCharType="separate"/>
      </w:r>
      <w:r w:rsidR="009A3178">
        <w:rPr>
          <w:noProof/>
          <w:sz w:val="24"/>
          <w:szCs w:val="24"/>
        </w:rPr>
        <w:t>3</w:t>
      </w:r>
      <w:r w:rsidR="0001019B" w:rsidRPr="00BA612C">
        <w:rPr>
          <w:noProof/>
          <w:sz w:val="24"/>
          <w:szCs w:val="24"/>
        </w:rPr>
        <w:fldChar w:fldCharType="end"/>
      </w:r>
      <w:r w:rsidRPr="00BA612C">
        <w:rPr>
          <w:noProof/>
          <w:sz w:val="24"/>
          <w:szCs w:val="24"/>
        </w:rPr>
        <w:t>: Most recent employment data, aged 20-64</w:t>
      </w:r>
    </w:p>
    <w:p w14:paraId="44C86758" w14:textId="77777777" w:rsidR="00623E3E" w:rsidRPr="00BA612C" w:rsidRDefault="00623E3E" w:rsidP="002723EC">
      <w:r w:rsidRPr="00BA612C">
        <w:rPr>
          <w:noProof/>
          <w:lang w:val="nl-NL" w:eastAsia="nl-NL"/>
        </w:rPr>
        <w:drawing>
          <wp:inline distT="0" distB="0" distL="0" distR="0" wp14:anchorId="10CF5C0A" wp14:editId="7E0AA22D">
            <wp:extent cx="5581934" cy="2361062"/>
            <wp:effectExtent l="0" t="0" r="0" b="12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7317EA0" w14:textId="1FE88378" w:rsidR="00623E3E" w:rsidRPr="00BA612C" w:rsidRDefault="00623E3E" w:rsidP="002723EC">
      <w:pPr>
        <w:pStyle w:val="Sourcereference"/>
        <w:spacing w:after="0"/>
        <w:rPr>
          <w:lang w:eastAsia="en-GB"/>
        </w:rPr>
      </w:pPr>
      <w:r w:rsidRPr="00BA612C">
        <w:t xml:space="preserve">Source: </w:t>
      </w:r>
      <w:r w:rsidRPr="00BA612C">
        <w:rPr>
          <w:lang w:eastAsia="en-GB"/>
        </w:rPr>
        <w:t>EUSILC UDB 2014 – version 2 of August 2016</w:t>
      </w:r>
    </w:p>
    <w:p w14:paraId="3608555B" w14:textId="77777777" w:rsidR="002723EC" w:rsidRPr="00BA612C" w:rsidRDefault="002723EC" w:rsidP="002723EC">
      <w:pPr>
        <w:pStyle w:val="Sourcereference"/>
        <w:spacing w:after="0"/>
        <w:rPr>
          <w:sz w:val="24"/>
          <w:lang w:eastAsia="en-GB"/>
        </w:rPr>
      </w:pPr>
    </w:p>
    <w:p w14:paraId="6DB473CE" w14:textId="77777777" w:rsidR="00C34EB2" w:rsidRDefault="00C34EB2">
      <w:pPr>
        <w:spacing w:after="200" w:line="276" w:lineRule="auto"/>
        <w:rPr>
          <w:b/>
          <w:bCs/>
        </w:rPr>
      </w:pPr>
      <w:r>
        <w:br w:type="page"/>
      </w:r>
    </w:p>
    <w:p w14:paraId="1ACFA2D6" w14:textId="69D4DC0A" w:rsidR="002723EC" w:rsidRPr="00BA612C" w:rsidRDefault="00623E3E" w:rsidP="002723EC">
      <w:pPr>
        <w:pStyle w:val="Caption"/>
        <w:rPr>
          <w:sz w:val="24"/>
          <w:szCs w:val="24"/>
        </w:rPr>
      </w:pPr>
      <w:r w:rsidRPr="00BA612C">
        <w:rPr>
          <w:sz w:val="24"/>
          <w:szCs w:val="24"/>
        </w:rPr>
        <w:t xml:space="preserve">Table </w:t>
      </w:r>
      <w:r w:rsidR="0001019B" w:rsidRPr="00BA612C">
        <w:rPr>
          <w:sz w:val="24"/>
          <w:szCs w:val="24"/>
        </w:rPr>
        <w:fldChar w:fldCharType="begin"/>
      </w:r>
      <w:r w:rsidR="0001019B" w:rsidRPr="00BA612C">
        <w:rPr>
          <w:sz w:val="24"/>
          <w:szCs w:val="24"/>
        </w:rPr>
        <w:instrText xml:space="preserve"> SEQ Table \* ARABIC </w:instrText>
      </w:r>
      <w:r w:rsidR="0001019B" w:rsidRPr="00BA612C">
        <w:rPr>
          <w:sz w:val="24"/>
          <w:szCs w:val="24"/>
        </w:rPr>
        <w:fldChar w:fldCharType="separate"/>
      </w:r>
      <w:r w:rsidR="009A3178">
        <w:rPr>
          <w:noProof/>
          <w:sz w:val="24"/>
          <w:szCs w:val="24"/>
        </w:rPr>
        <w:t>4</w:t>
      </w:r>
      <w:r w:rsidR="0001019B" w:rsidRPr="00BA612C">
        <w:rPr>
          <w:noProof/>
          <w:sz w:val="24"/>
          <w:szCs w:val="24"/>
        </w:rPr>
        <w:fldChar w:fldCharType="end"/>
      </w:r>
      <w:r w:rsidRPr="00BA612C">
        <w:rPr>
          <w:sz w:val="24"/>
          <w:szCs w:val="24"/>
        </w:rPr>
        <w:t>: Employment rate data, by age group</w:t>
      </w:r>
    </w:p>
    <w:p w14:paraId="71D1BE5F" w14:textId="77777777" w:rsidR="00623E3E" w:rsidRPr="00BA612C" w:rsidRDefault="00623E3E" w:rsidP="002723EC">
      <w:r w:rsidRPr="00BA612C">
        <w:rPr>
          <w:noProof/>
          <w:lang w:val="nl-NL" w:eastAsia="nl-NL"/>
        </w:rPr>
        <w:drawing>
          <wp:inline distT="0" distB="0" distL="0" distR="0" wp14:anchorId="78FCA18A" wp14:editId="0ECE1B74">
            <wp:extent cx="5581934" cy="2565780"/>
            <wp:effectExtent l="0" t="0" r="0" b="63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68142A4" w14:textId="4B79DCF1" w:rsidR="00623E3E" w:rsidRDefault="00623E3E" w:rsidP="002723EC">
      <w:pPr>
        <w:pStyle w:val="Sourcereference"/>
        <w:spacing w:after="0"/>
        <w:rPr>
          <w:lang w:eastAsia="en-GB"/>
        </w:rPr>
      </w:pPr>
      <w:r w:rsidRPr="00BA612C">
        <w:t xml:space="preserve">Source: </w:t>
      </w:r>
      <w:r w:rsidRPr="00BA612C">
        <w:rPr>
          <w:lang w:eastAsia="en-GB"/>
        </w:rPr>
        <w:t>EUSILC UDB 2014 – version 2 of August 2016</w:t>
      </w:r>
    </w:p>
    <w:p w14:paraId="1D1DF30D" w14:textId="77777777" w:rsidR="00C34EB2" w:rsidRPr="00C34EB2" w:rsidRDefault="00C34EB2" w:rsidP="002723EC">
      <w:pPr>
        <w:pStyle w:val="Sourcereference"/>
        <w:spacing w:after="0"/>
        <w:rPr>
          <w:i w:val="0"/>
          <w:sz w:val="24"/>
          <w:lang w:eastAsia="en-GB"/>
        </w:rPr>
      </w:pPr>
    </w:p>
    <w:p w14:paraId="77E6586E" w14:textId="63589313" w:rsidR="00623E3E" w:rsidRPr="00BA612C" w:rsidRDefault="00623E3E" w:rsidP="002723EC">
      <w:pPr>
        <w:pStyle w:val="Caption"/>
        <w:keepNext/>
        <w:rPr>
          <w:sz w:val="24"/>
          <w:szCs w:val="24"/>
        </w:rPr>
      </w:pPr>
      <w:r w:rsidRPr="00BA612C">
        <w:rPr>
          <w:sz w:val="24"/>
          <w:szCs w:val="24"/>
        </w:rPr>
        <w:t xml:space="preserve">Table </w:t>
      </w:r>
      <w:r w:rsidR="0001019B" w:rsidRPr="00BA612C">
        <w:rPr>
          <w:sz w:val="24"/>
          <w:szCs w:val="24"/>
        </w:rPr>
        <w:fldChar w:fldCharType="begin"/>
      </w:r>
      <w:r w:rsidR="0001019B" w:rsidRPr="00BA612C">
        <w:rPr>
          <w:sz w:val="24"/>
          <w:szCs w:val="24"/>
        </w:rPr>
        <w:instrText xml:space="preserve"> SEQ Table \* ARABIC </w:instrText>
      </w:r>
      <w:r w:rsidR="0001019B" w:rsidRPr="00BA612C">
        <w:rPr>
          <w:sz w:val="24"/>
          <w:szCs w:val="24"/>
        </w:rPr>
        <w:fldChar w:fldCharType="separate"/>
      </w:r>
      <w:r w:rsidR="009A3178">
        <w:rPr>
          <w:noProof/>
          <w:sz w:val="24"/>
          <w:szCs w:val="24"/>
        </w:rPr>
        <w:t>5</w:t>
      </w:r>
      <w:r w:rsidR="0001019B" w:rsidRPr="00BA612C">
        <w:rPr>
          <w:noProof/>
          <w:sz w:val="24"/>
          <w:szCs w:val="24"/>
        </w:rPr>
        <w:fldChar w:fldCharType="end"/>
      </w:r>
      <w:r w:rsidRPr="00BA612C">
        <w:rPr>
          <w:sz w:val="24"/>
          <w:szCs w:val="24"/>
        </w:rPr>
        <w:t>: Trends in employment by gender and disability (aged 20-64)</w:t>
      </w:r>
    </w:p>
    <w:p w14:paraId="5ADB5F68" w14:textId="77777777" w:rsidR="00623E3E" w:rsidRPr="00BA612C" w:rsidRDefault="00623E3E" w:rsidP="002723EC">
      <w:r w:rsidRPr="00BA612C">
        <w:rPr>
          <w:noProof/>
          <w:lang w:val="nl-NL" w:eastAsia="nl-NL"/>
        </w:rPr>
        <w:drawing>
          <wp:inline distT="0" distB="0" distL="0" distR="0" wp14:anchorId="13FFEF69" wp14:editId="5C904072">
            <wp:extent cx="5486400" cy="463867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CE804E7" w14:textId="45FA6397" w:rsidR="00623E3E" w:rsidRPr="00BA612C" w:rsidRDefault="00623E3E" w:rsidP="002723EC">
      <w:pPr>
        <w:pStyle w:val="Sourcereference"/>
        <w:spacing w:after="0"/>
        <w:rPr>
          <w:sz w:val="24"/>
          <w:lang w:eastAsia="en-GB"/>
        </w:rPr>
      </w:pPr>
      <w:r w:rsidRPr="00BA612C">
        <w:t xml:space="preserve">Source: </w:t>
      </w:r>
      <w:r w:rsidRPr="00BA612C">
        <w:rPr>
          <w:lang w:eastAsia="en-GB"/>
        </w:rPr>
        <w:t>EUSILC UDB 2014 – version 2 of August 2016 (and preceding UDBs)</w:t>
      </w:r>
    </w:p>
    <w:p w14:paraId="31CB7B96" w14:textId="77777777" w:rsidR="00524CC8" w:rsidRPr="00BA612C" w:rsidRDefault="00524CC8" w:rsidP="002723EC">
      <w:pPr>
        <w:pStyle w:val="Sourcereference"/>
        <w:spacing w:after="0"/>
        <w:rPr>
          <w:sz w:val="24"/>
          <w:lang w:eastAsia="en-GB"/>
        </w:rPr>
      </w:pPr>
    </w:p>
    <w:p w14:paraId="5C10EFE0" w14:textId="77777777" w:rsidR="00623E3E" w:rsidRPr="00BA612C" w:rsidRDefault="00623E3E" w:rsidP="002723EC">
      <w:pPr>
        <w:pStyle w:val="BodyText"/>
        <w:spacing w:after="0"/>
      </w:pPr>
      <w:r w:rsidRPr="00BA612C">
        <w:t>The table above shows a comparison of national employment trends for disabled and non-disabled women and men, and compares this with the EU2020 headline indicator for the EU as a whole.</w:t>
      </w:r>
    </w:p>
    <w:p w14:paraId="23FAD9E8" w14:textId="77777777" w:rsidR="00E552F3" w:rsidRPr="00BA612C" w:rsidRDefault="00E552F3" w:rsidP="002723EC">
      <w:pPr>
        <w:pStyle w:val="BodyText"/>
        <w:spacing w:after="0"/>
      </w:pPr>
    </w:p>
    <w:p w14:paraId="6AFF84E1" w14:textId="6481E161" w:rsidR="0066278F" w:rsidRPr="00BA612C" w:rsidRDefault="0066278F" w:rsidP="002723EC">
      <w:pPr>
        <w:pStyle w:val="Un-numberedsubheading"/>
        <w:spacing w:after="0"/>
      </w:pPr>
      <w:r w:rsidRPr="00BA612C">
        <w:t xml:space="preserve">Alternative data on disability and employment </w:t>
      </w:r>
      <w:r w:rsidR="00803568" w:rsidRPr="00BA612C">
        <w:t>provided by the national expert</w:t>
      </w:r>
      <w:r w:rsidRPr="00BA612C">
        <w:t>:</w:t>
      </w:r>
    </w:p>
    <w:p w14:paraId="51D2E254" w14:textId="77777777" w:rsidR="00E552F3" w:rsidRPr="00BA612C" w:rsidRDefault="00E552F3" w:rsidP="002723EC">
      <w:pPr>
        <w:pStyle w:val="Un-numberedsubheading"/>
        <w:spacing w:after="0"/>
        <w:rPr>
          <w:b w:val="0"/>
        </w:rPr>
      </w:pPr>
    </w:p>
    <w:p w14:paraId="623968DB" w14:textId="0F984C6E" w:rsidR="00EA2534" w:rsidRPr="00BA612C" w:rsidRDefault="00EA2534" w:rsidP="002723EC">
      <w:pPr>
        <w:pStyle w:val="Un-numberedsubheading"/>
        <w:spacing w:after="0"/>
        <w:rPr>
          <w:b w:val="0"/>
        </w:rPr>
      </w:pPr>
      <w:r w:rsidRPr="00BA612C">
        <w:rPr>
          <w:b w:val="0"/>
        </w:rPr>
        <w:t xml:space="preserve">As a preliminary point: The definition of disability used in different </w:t>
      </w:r>
      <w:r w:rsidR="00D6657A" w:rsidRPr="00BA612C">
        <w:rPr>
          <w:b w:val="0"/>
        </w:rPr>
        <w:t xml:space="preserve">policy </w:t>
      </w:r>
      <w:r w:rsidRPr="00BA612C">
        <w:rPr>
          <w:b w:val="0"/>
        </w:rPr>
        <w:t xml:space="preserve">fields and by different </w:t>
      </w:r>
      <w:r w:rsidR="007F5B27" w:rsidRPr="00BA612C">
        <w:rPr>
          <w:b w:val="0"/>
        </w:rPr>
        <w:t>political actors</w:t>
      </w:r>
      <w:r w:rsidRPr="00BA612C">
        <w:rPr>
          <w:b w:val="0"/>
        </w:rPr>
        <w:t xml:space="preserve"> differs a lot in Austria: E.g. the definition used in LFS ad-hoc module does not match the definition of disability used in employment policy. Employed or unemployed persons may apply for the status of officially recognised persons with disabilities. This status is regulated in the Federal Disability Employment Act (Behinderteneinstellungsgesetz; BEinStG; BGBl. Nr. 22/1970) and includes specific protection against dismissal, additional holidays and the right to get support (e.g. counselling) or funding for necessary workplace adaptation. Individuals </w:t>
      </w:r>
      <w:r w:rsidR="00C34EB2" w:rsidRPr="00BA612C">
        <w:rPr>
          <w:b w:val="0"/>
        </w:rPr>
        <w:t>lose</w:t>
      </w:r>
      <w:r w:rsidRPr="00BA612C">
        <w:rPr>
          <w:b w:val="0"/>
        </w:rPr>
        <w:t xml:space="preserve"> the status when they leave labour force (retirement). </w:t>
      </w:r>
      <w:r w:rsidR="00317560" w:rsidRPr="00BA612C">
        <w:rPr>
          <w:b w:val="0"/>
        </w:rPr>
        <w:t>Officially recognised persons with disabilities constitute the group of persons with disabilit</w:t>
      </w:r>
      <w:r w:rsidR="00E21A2A" w:rsidRPr="00BA612C">
        <w:rPr>
          <w:b w:val="0"/>
        </w:rPr>
        <w:t>ies</w:t>
      </w:r>
      <w:r w:rsidR="00317560" w:rsidRPr="00BA612C">
        <w:rPr>
          <w:b w:val="0"/>
        </w:rPr>
        <w:t xml:space="preserve"> in a </w:t>
      </w:r>
      <w:r w:rsidR="00C34EB2" w:rsidRPr="00BA612C">
        <w:rPr>
          <w:b w:val="0"/>
        </w:rPr>
        <w:t>narrower</w:t>
      </w:r>
      <w:r w:rsidR="00317560" w:rsidRPr="00BA612C">
        <w:rPr>
          <w:b w:val="0"/>
        </w:rPr>
        <w:t xml:space="preserve"> definition. Additionally, persons with health problems are included in data collection. They would probably not define themselves as persons with disabilities and would not be eligible for support as defined in the Federal Disability Employment Act. However, they are particularly often refer</w:t>
      </w:r>
      <w:r w:rsidR="000250B6" w:rsidRPr="00BA612C">
        <w:rPr>
          <w:b w:val="0"/>
        </w:rPr>
        <w:t>r</w:t>
      </w:r>
      <w:r w:rsidR="00317560" w:rsidRPr="00BA612C">
        <w:rPr>
          <w:b w:val="0"/>
        </w:rPr>
        <w:t>ed to with regard to employment or un-employment.</w:t>
      </w:r>
    </w:p>
    <w:p w14:paraId="1FBDE4A1" w14:textId="77777777" w:rsidR="00317560" w:rsidRPr="00BA612C" w:rsidRDefault="00317560" w:rsidP="002723EC">
      <w:pPr>
        <w:pStyle w:val="Un-numberedsubheading"/>
        <w:spacing w:after="0"/>
        <w:rPr>
          <w:b w:val="0"/>
        </w:rPr>
      </w:pPr>
    </w:p>
    <w:p w14:paraId="03FB56DA" w14:textId="1A813F9E" w:rsidR="00524CC8" w:rsidRPr="00BA612C" w:rsidRDefault="00317560" w:rsidP="002723EC">
      <w:pPr>
        <w:pStyle w:val="Un-numberedsubheading"/>
        <w:spacing w:after="0"/>
        <w:rPr>
          <w:b w:val="0"/>
        </w:rPr>
      </w:pPr>
      <w:r w:rsidRPr="00BA612C">
        <w:rPr>
          <w:b w:val="0"/>
        </w:rPr>
        <w:t>D</w:t>
      </w:r>
      <w:r w:rsidR="00F36979" w:rsidRPr="00BA612C">
        <w:rPr>
          <w:b w:val="0"/>
        </w:rPr>
        <w:t>ata on disability and employment are provided on a specific website on work and disability.</w:t>
      </w:r>
      <w:r w:rsidR="0075759B" w:rsidRPr="00BA612C">
        <w:rPr>
          <w:rStyle w:val="FootnoteReference"/>
          <w:b w:val="0"/>
        </w:rPr>
        <w:footnoteReference w:id="9"/>
      </w:r>
      <w:r w:rsidR="00F36979" w:rsidRPr="00BA612C">
        <w:rPr>
          <w:b w:val="0"/>
        </w:rPr>
        <w:t xml:space="preserve"> </w:t>
      </w:r>
      <w:r w:rsidR="00BB4914" w:rsidRPr="00BA612C">
        <w:rPr>
          <w:b w:val="0"/>
        </w:rPr>
        <w:t xml:space="preserve">Data is currently available for the year 2015 </w:t>
      </w:r>
      <w:r w:rsidRPr="00BA612C">
        <w:rPr>
          <w:b w:val="0"/>
        </w:rPr>
        <w:t>as wel</w:t>
      </w:r>
      <w:r w:rsidR="007E1E30" w:rsidRPr="00BA612C">
        <w:rPr>
          <w:b w:val="0"/>
        </w:rPr>
        <w:t>l</w:t>
      </w:r>
      <w:r w:rsidRPr="00BA612C">
        <w:rPr>
          <w:b w:val="0"/>
        </w:rPr>
        <w:t xml:space="preserve"> as </w:t>
      </w:r>
      <w:r w:rsidR="00BB4914" w:rsidRPr="00BA612C">
        <w:rPr>
          <w:b w:val="0"/>
        </w:rPr>
        <w:t xml:space="preserve">for September 2016: </w:t>
      </w:r>
      <w:r w:rsidR="00D3744E" w:rsidRPr="00BA612C">
        <w:rPr>
          <w:b w:val="0"/>
        </w:rPr>
        <w:t>I</w:t>
      </w:r>
      <w:r w:rsidR="00A958F2" w:rsidRPr="00BA612C">
        <w:rPr>
          <w:b w:val="0"/>
        </w:rPr>
        <w:t>n 201</w:t>
      </w:r>
      <w:r w:rsidR="009528F0" w:rsidRPr="00BA612C">
        <w:rPr>
          <w:b w:val="0"/>
        </w:rPr>
        <w:t>5</w:t>
      </w:r>
      <w:r w:rsidR="00A958F2" w:rsidRPr="00BA612C">
        <w:rPr>
          <w:b w:val="0"/>
        </w:rPr>
        <w:t xml:space="preserve">, </w:t>
      </w:r>
      <w:r w:rsidR="00BB4914" w:rsidRPr="00BA612C">
        <w:rPr>
          <w:b w:val="0"/>
        </w:rPr>
        <w:t>100.85</w:t>
      </w:r>
      <w:r w:rsidR="009528F0" w:rsidRPr="00BA612C">
        <w:rPr>
          <w:b w:val="0"/>
        </w:rPr>
        <w:t>9</w:t>
      </w:r>
      <w:r w:rsidR="00BB4914" w:rsidRPr="00BA612C">
        <w:rPr>
          <w:b w:val="0"/>
        </w:rPr>
        <w:t xml:space="preserve"> persons with disabilities were officially recognised as persons with disabilities according to the Federal Disability Employment Act. Th</w:t>
      </w:r>
      <w:r w:rsidR="00C34EB2">
        <w:rPr>
          <w:b w:val="0"/>
        </w:rPr>
        <w:t>is indicates an increase of 3</w:t>
      </w:r>
      <w:r w:rsidR="00BB4914" w:rsidRPr="00BA612C">
        <w:rPr>
          <w:b w:val="0"/>
        </w:rPr>
        <w:t>% compared to 2014</w:t>
      </w:r>
      <w:r w:rsidR="006347B4" w:rsidRPr="00BA612C">
        <w:rPr>
          <w:b w:val="0"/>
        </w:rPr>
        <w:t>.</w:t>
      </w:r>
      <w:r w:rsidR="005F6DB3" w:rsidRPr="00BA612C">
        <w:rPr>
          <w:rStyle w:val="FootnoteReference"/>
          <w:b w:val="0"/>
        </w:rPr>
        <w:footnoteReference w:id="10"/>
      </w:r>
      <w:r w:rsidR="00BB4914" w:rsidRPr="00BA612C">
        <w:rPr>
          <w:b w:val="0"/>
        </w:rPr>
        <w:t xml:space="preserve"> </w:t>
      </w:r>
      <w:r w:rsidR="00A958F2" w:rsidRPr="00BA612C">
        <w:rPr>
          <w:b w:val="0"/>
        </w:rPr>
        <w:t>64.094 of these persons with disabilities were employed in 2015, the employment rate among officially recognised persons with disabilities was thus 63,55% (</w:t>
      </w:r>
      <w:r w:rsidR="00C26D72" w:rsidRPr="00BA612C">
        <w:rPr>
          <w:b w:val="0"/>
        </w:rPr>
        <w:t xml:space="preserve">employment rate: </w:t>
      </w:r>
      <w:r w:rsidR="00A958F2" w:rsidRPr="00BA612C">
        <w:rPr>
          <w:b w:val="0"/>
        </w:rPr>
        <w:t xml:space="preserve">own calculation). </w:t>
      </w:r>
      <w:r w:rsidR="00F17F41" w:rsidRPr="00BA612C">
        <w:rPr>
          <w:b w:val="0"/>
        </w:rPr>
        <w:t xml:space="preserve">This is exactly the same rate as reflected in the EUSILC data from 2014. </w:t>
      </w:r>
    </w:p>
    <w:p w14:paraId="51377AA1" w14:textId="77777777" w:rsidR="00524CC8" w:rsidRPr="00BA612C" w:rsidRDefault="00524CC8" w:rsidP="002723EC">
      <w:pPr>
        <w:pStyle w:val="Un-numberedsubheading"/>
        <w:spacing w:after="0"/>
        <w:rPr>
          <w:b w:val="0"/>
        </w:rPr>
      </w:pPr>
    </w:p>
    <w:p w14:paraId="2AB4C7C5" w14:textId="1FCB3185" w:rsidR="00F36979" w:rsidRPr="00BA612C" w:rsidRDefault="00A958F2" w:rsidP="002723EC">
      <w:pPr>
        <w:pStyle w:val="Un-numberedsubheading"/>
        <w:spacing w:after="0"/>
        <w:rPr>
          <w:b w:val="0"/>
        </w:rPr>
      </w:pPr>
      <w:r w:rsidRPr="00BA612C">
        <w:rPr>
          <w:b w:val="0"/>
        </w:rPr>
        <w:t>In September 201</w:t>
      </w:r>
      <w:r w:rsidR="00786DF6" w:rsidRPr="00BA612C">
        <w:rPr>
          <w:b w:val="0"/>
        </w:rPr>
        <w:t>6</w:t>
      </w:r>
      <w:r w:rsidRPr="00BA612C">
        <w:rPr>
          <w:b w:val="0"/>
        </w:rPr>
        <w:t xml:space="preserve">, </w:t>
      </w:r>
      <w:r w:rsidR="005F6DB3" w:rsidRPr="00BA612C">
        <w:rPr>
          <w:b w:val="0"/>
        </w:rPr>
        <w:t>no new dat</w:t>
      </w:r>
      <w:r w:rsidR="00865BDB" w:rsidRPr="00BA612C">
        <w:rPr>
          <w:b w:val="0"/>
        </w:rPr>
        <w:t>a</w:t>
      </w:r>
      <w:r w:rsidR="005F6DB3" w:rsidRPr="00BA612C">
        <w:rPr>
          <w:b w:val="0"/>
        </w:rPr>
        <w:t xml:space="preserve"> </w:t>
      </w:r>
      <w:r w:rsidRPr="00BA612C">
        <w:rPr>
          <w:b w:val="0"/>
        </w:rPr>
        <w:t xml:space="preserve">on the overall number of officially recognised persons </w:t>
      </w:r>
      <w:r w:rsidR="00865BDB" w:rsidRPr="00BA612C">
        <w:rPr>
          <w:b w:val="0"/>
        </w:rPr>
        <w:t>is available. A total of 60.538 officially recognised persons with disabilities was employed (no gender specific data available) in this month.</w:t>
      </w:r>
      <w:r w:rsidR="000764D5" w:rsidRPr="00BA612C">
        <w:rPr>
          <w:rStyle w:val="FootnoteReference"/>
          <w:b w:val="0"/>
        </w:rPr>
        <w:footnoteReference w:id="11"/>
      </w:r>
    </w:p>
    <w:p w14:paraId="67999F0D" w14:textId="287EC75A" w:rsidR="00B24B1B" w:rsidRPr="00BA612C" w:rsidRDefault="00B24B1B" w:rsidP="002723EC"/>
    <w:p w14:paraId="0B77A48C" w14:textId="77777777" w:rsidR="00561FF5" w:rsidRPr="00BA612C" w:rsidRDefault="00561FF5" w:rsidP="002723EC">
      <w:pPr>
        <w:pStyle w:val="Heading3"/>
      </w:pPr>
      <w:bookmarkStart w:id="10" w:name="_Toc429999636"/>
      <w:bookmarkStart w:id="11" w:name="_Toc483400170"/>
      <w:r w:rsidRPr="00BA612C">
        <w:t>Unemployment</w:t>
      </w:r>
      <w:bookmarkEnd w:id="10"/>
      <w:bookmarkEnd w:id="11"/>
    </w:p>
    <w:p w14:paraId="624C685A" w14:textId="77777777" w:rsidR="00E552F3" w:rsidRPr="00BA612C" w:rsidRDefault="00E552F3" w:rsidP="002723EC">
      <w:pPr>
        <w:pStyle w:val="BodyText"/>
        <w:spacing w:after="0"/>
      </w:pPr>
    </w:p>
    <w:p w14:paraId="75AACB8D" w14:textId="2BEA22D0" w:rsidR="00524CC8" w:rsidRPr="00BA612C" w:rsidRDefault="00B24B1B" w:rsidP="002723EC">
      <w:pPr>
        <w:pStyle w:val="BodyText"/>
        <w:spacing w:after="0"/>
      </w:pPr>
      <w:r w:rsidRPr="00BA612C">
        <w:t xml:space="preserve">National administrative rules and definitions of ‘unemployment’ </w:t>
      </w:r>
      <w:r w:rsidR="009C539B" w:rsidRPr="00BA612C">
        <w:t xml:space="preserve">vary, and these </w:t>
      </w:r>
      <w:r w:rsidRPr="00BA612C">
        <w:t xml:space="preserve">may affect the way in which </w:t>
      </w:r>
      <w:r w:rsidR="009C539B" w:rsidRPr="00BA612C">
        <w:t xml:space="preserve">disabled </w:t>
      </w:r>
      <w:r w:rsidRPr="00BA612C">
        <w:t>people are categorised in different countries.</w:t>
      </w:r>
      <w:r w:rsidR="00082E6D" w:rsidRPr="00BA612C">
        <w:t xml:space="preserve"> The following tables compare national data with the EU2020 headline indicator for the EU</w:t>
      </w:r>
      <w:r w:rsidR="00E552F3" w:rsidRPr="00BA612C">
        <w:t>.</w:t>
      </w:r>
    </w:p>
    <w:p w14:paraId="6852399F" w14:textId="5C29E928" w:rsidR="00623E3E" w:rsidRPr="00A316BB" w:rsidRDefault="00623E3E" w:rsidP="002723EC">
      <w:pPr>
        <w:pStyle w:val="Sourcereference"/>
        <w:spacing w:after="0"/>
        <w:rPr>
          <w:b/>
          <w:bCs/>
          <w:i w:val="0"/>
          <w:sz w:val="24"/>
        </w:rPr>
      </w:pPr>
      <w:r w:rsidRPr="00A316BB">
        <w:rPr>
          <w:b/>
          <w:bCs/>
          <w:i w:val="0"/>
          <w:sz w:val="24"/>
        </w:rPr>
        <w:t xml:space="preserve">Table </w:t>
      </w:r>
      <w:r w:rsidRPr="00A316BB">
        <w:rPr>
          <w:b/>
          <w:bCs/>
          <w:i w:val="0"/>
          <w:sz w:val="24"/>
        </w:rPr>
        <w:fldChar w:fldCharType="begin"/>
      </w:r>
      <w:r w:rsidRPr="00A316BB">
        <w:rPr>
          <w:b/>
          <w:bCs/>
          <w:i w:val="0"/>
          <w:sz w:val="24"/>
        </w:rPr>
        <w:instrText xml:space="preserve"> SEQ Table \* ARABIC </w:instrText>
      </w:r>
      <w:r w:rsidRPr="00A316BB">
        <w:rPr>
          <w:b/>
          <w:bCs/>
          <w:i w:val="0"/>
          <w:sz w:val="24"/>
        </w:rPr>
        <w:fldChar w:fldCharType="separate"/>
      </w:r>
      <w:r w:rsidR="009A3178" w:rsidRPr="00A316BB">
        <w:rPr>
          <w:b/>
          <w:bCs/>
          <w:i w:val="0"/>
          <w:noProof/>
          <w:sz w:val="24"/>
        </w:rPr>
        <w:t>6</w:t>
      </w:r>
      <w:r w:rsidRPr="00A316BB">
        <w:rPr>
          <w:b/>
          <w:bCs/>
          <w:i w:val="0"/>
          <w:sz w:val="24"/>
        </w:rPr>
        <w:fldChar w:fldCharType="end"/>
      </w:r>
      <w:r w:rsidRPr="00A316BB">
        <w:rPr>
          <w:b/>
          <w:bCs/>
          <w:i w:val="0"/>
          <w:sz w:val="24"/>
        </w:rPr>
        <w:t>: Most recent unemployment data, aged 20-64</w:t>
      </w:r>
    </w:p>
    <w:p w14:paraId="357985E5" w14:textId="77777777" w:rsidR="00623E3E" w:rsidRPr="00BA612C" w:rsidRDefault="00623E3E" w:rsidP="002723EC">
      <w:pPr>
        <w:pStyle w:val="Sourcereference"/>
        <w:spacing w:after="0"/>
        <w:rPr>
          <w:b/>
          <w:bCs/>
          <w:sz w:val="24"/>
        </w:rPr>
      </w:pPr>
      <w:r w:rsidRPr="00BA612C">
        <w:rPr>
          <w:b/>
          <w:bCs/>
          <w:noProof/>
          <w:sz w:val="24"/>
          <w:lang w:val="nl-NL" w:eastAsia="nl-NL"/>
        </w:rPr>
        <w:drawing>
          <wp:inline distT="0" distB="0" distL="0" distR="0" wp14:anchorId="44EDABE5" wp14:editId="6CE83E0A">
            <wp:extent cx="5583044" cy="2594517"/>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21262B5" w14:textId="77777777" w:rsidR="00623E3E" w:rsidRPr="00BA612C" w:rsidRDefault="00623E3E" w:rsidP="002723EC">
      <w:pPr>
        <w:pStyle w:val="Sourcereference"/>
        <w:spacing w:after="0"/>
      </w:pPr>
      <w:r w:rsidRPr="00BA612C">
        <w:t>Source: EUSILC UDB 2014 – version 2 of August 2016</w:t>
      </w:r>
    </w:p>
    <w:p w14:paraId="07651BA4" w14:textId="57BB01D3" w:rsidR="00524CC8" w:rsidRPr="00C34EB2" w:rsidRDefault="00524CC8" w:rsidP="00C34EB2">
      <w:pPr>
        <w:rPr>
          <w:bCs/>
          <w:iCs/>
        </w:rPr>
      </w:pPr>
    </w:p>
    <w:p w14:paraId="66617C4A" w14:textId="2953EDDA" w:rsidR="00623E3E" w:rsidRPr="00BA612C" w:rsidRDefault="00623E3E" w:rsidP="002723EC">
      <w:pPr>
        <w:pStyle w:val="Sourcereference"/>
        <w:spacing w:after="0"/>
        <w:rPr>
          <w:b/>
          <w:bCs/>
          <w:i w:val="0"/>
          <w:iCs/>
          <w:sz w:val="24"/>
        </w:rPr>
      </w:pPr>
      <w:r w:rsidRPr="00BA612C">
        <w:rPr>
          <w:b/>
          <w:bCs/>
          <w:i w:val="0"/>
          <w:iCs/>
          <w:sz w:val="24"/>
        </w:rPr>
        <w:t xml:space="preserve">Table </w:t>
      </w:r>
      <w:r w:rsidRPr="00BA612C">
        <w:rPr>
          <w:b/>
          <w:bCs/>
          <w:i w:val="0"/>
          <w:iCs/>
          <w:sz w:val="24"/>
        </w:rPr>
        <w:fldChar w:fldCharType="begin"/>
      </w:r>
      <w:r w:rsidRPr="00BA612C">
        <w:rPr>
          <w:b/>
          <w:bCs/>
          <w:i w:val="0"/>
          <w:iCs/>
          <w:sz w:val="24"/>
        </w:rPr>
        <w:instrText xml:space="preserve"> SEQ Table \* ARABIC </w:instrText>
      </w:r>
      <w:r w:rsidRPr="00BA612C">
        <w:rPr>
          <w:b/>
          <w:bCs/>
          <w:i w:val="0"/>
          <w:iCs/>
          <w:sz w:val="24"/>
        </w:rPr>
        <w:fldChar w:fldCharType="separate"/>
      </w:r>
      <w:r w:rsidR="009A3178">
        <w:rPr>
          <w:b/>
          <w:bCs/>
          <w:i w:val="0"/>
          <w:iCs/>
          <w:noProof/>
          <w:sz w:val="24"/>
        </w:rPr>
        <w:t>7</w:t>
      </w:r>
      <w:r w:rsidRPr="00BA612C">
        <w:rPr>
          <w:b/>
          <w:bCs/>
          <w:i w:val="0"/>
          <w:iCs/>
          <w:sz w:val="24"/>
        </w:rPr>
        <w:fldChar w:fldCharType="end"/>
      </w:r>
      <w:r w:rsidRPr="00BA612C">
        <w:rPr>
          <w:b/>
          <w:bCs/>
          <w:i w:val="0"/>
          <w:iCs/>
          <w:sz w:val="24"/>
        </w:rPr>
        <w:t>: Unemployment rate data, by age group</w:t>
      </w:r>
    </w:p>
    <w:p w14:paraId="44EA081C" w14:textId="77777777" w:rsidR="00623E3E" w:rsidRPr="00BA612C" w:rsidRDefault="00623E3E" w:rsidP="002723EC">
      <w:pPr>
        <w:pStyle w:val="Sourcereference"/>
        <w:spacing w:after="0"/>
        <w:rPr>
          <w:b/>
          <w:bCs/>
          <w:sz w:val="24"/>
        </w:rPr>
      </w:pPr>
      <w:r w:rsidRPr="00BA612C">
        <w:rPr>
          <w:b/>
          <w:bCs/>
          <w:noProof/>
          <w:sz w:val="24"/>
          <w:lang w:val="nl-NL" w:eastAsia="nl-NL"/>
        </w:rPr>
        <w:drawing>
          <wp:inline distT="0" distB="0" distL="0" distR="0" wp14:anchorId="24A0FB46" wp14:editId="4ED466CC">
            <wp:extent cx="5583044" cy="2668858"/>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1460338" w14:textId="77777777" w:rsidR="00623E3E" w:rsidRPr="00BA612C" w:rsidRDefault="00623E3E" w:rsidP="002723EC">
      <w:pPr>
        <w:pStyle w:val="Sourcereference"/>
        <w:spacing w:after="0"/>
        <w:rPr>
          <w:bCs/>
          <w:iCs/>
          <w:sz w:val="24"/>
        </w:rPr>
      </w:pPr>
      <w:r w:rsidRPr="00BA612C">
        <w:rPr>
          <w:bCs/>
          <w:iCs/>
        </w:rPr>
        <w:t>Source: EUSILC UDB 2014 – version 2 of August 2016</w:t>
      </w:r>
    </w:p>
    <w:p w14:paraId="55F66E82" w14:textId="77777777" w:rsidR="00623E3E" w:rsidRPr="00BA612C" w:rsidRDefault="00623E3E" w:rsidP="002723EC">
      <w:pPr>
        <w:pStyle w:val="Sourcereference"/>
        <w:spacing w:after="0"/>
        <w:rPr>
          <w:b/>
          <w:bCs/>
          <w:i w:val="0"/>
          <w:iCs/>
          <w:sz w:val="24"/>
        </w:rPr>
      </w:pPr>
    </w:p>
    <w:p w14:paraId="7B43E6BD" w14:textId="77777777" w:rsidR="00C34EB2" w:rsidRDefault="00C34EB2">
      <w:pPr>
        <w:spacing w:after="200" w:line="276" w:lineRule="auto"/>
        <w:rPr>
          <w:b/>
          <w:bCs/>
          <w:iCs/>
        </w:rPr>
      </w:pPr>
      <w:r>
        <w:rPr>
          <w:b/>
          <w:bCs/>
          <w:i/>
          <w:iCs/>
        </w:rPr>
        <w:br w:type="page"/>
      </w:r>
    </w:p>
    <w:p w14:paraId="69FA5208" w14:textId="7D18E90E" w:rsidR="00623E3E" w:rsidRPr="00BA612C" w:rsidRDefault="00623E3E" w:rsidP="002723EC">
      <w:pPr>
        <w:pStyle w:val="Sourcereference"/>
        <w:spacing w:after="0"/>
        <w:rPr>
          <w:b/>
          <w:bCs/>
          <w:i w:val="0"/>
          <w:iCs/>
          <w:sz w:val="24"/>
        </w:rPr>
      </w:pPr>
      <w:r w:rsidRPr="00BA612C">
        <w:rPr>
          <w:b/>
          <w:bCs/>
          <w:i w:val="0"/>
          <w:iCs/>
          <w:sz w:val="24"/>
        </w:rPr>
        <w:t xml:space="preserve">Table </w:t>
      </w:r>
      <w:r w:rsidRPr="00BA612C">
        <w:rPr>
          <w:b/>
          <w:bCs/>
          <w:i w:val="0"/>
          <w:iCs/>
          <w:sz w:val="24"/>
        </w:rPr>
        <w:fldChar w:fldCharType="begin"/>
      </w:r>
      <w:r w:rsidRPr="00BA612C">
        <w:rPr>
          <w:b/>
          <w:bCs/>
          <w:i w:val="0"/>
          <w:iCs/>
          <w:sz w:val="24"/>
        </w:rPr>
        <w:instrText xml:space="preserve"> SEQ Table \* ARABIC </w:instrText>
      </w:r>
      <w:r w:rsidRPr="00BA612C">
        <w:rPr>
          <w:b/>
          <w:bCs/>
          <w:i w:val="0"/>
          <w:iCs/>
          <w:sz w:val="24"/>
        </w:rPr>
        <w:fldChar w:fldCharType="separate"/>
      </w:r>
      <w:r w:rsidR="009A3178">
        <w:rPr>
          <w:b/>
          <w:bCs/>
          <w:i w:val="0"/>
          <w:iCs/>
          <w:noProof/>
          <w:sz w:val="24"/>
        </w:rPr>
        <w:t>8</w:t>
      </w:r>
      <w:r w:rsidRPr="00BA612C">
        <w:rPr>
          <w:b/>
          <w:bCs/>
          <w:i w:val="0"/>
          <w:iCs/>
          <w:sz w:val="24"/>
        </w:rPr>
        <w:fldChar w:fldCharType="end"/>
      </w:r>
      <w:r w:rsidRPr="00BA612C">
        <w:rPr>
          <w:b/>
          <w:bCs/>
          <w:i w:val="0"/>
          <w:iCs/>
          <w:sz w:val="24"/>
        </w:rPr>
        <w:t>: Trends in unemployment by gender and disability (aged 20-64)</w:t>
      </w:r>
    </w:p>
    <w:p w14:paraId="4329F0D2" w14:textId="77777777" w:rsidR="00623E3E" w:rsidRPr="00BA612C" w:rsidRDefault="00623E3E" w:rsidP="002723EC">
      <w:pPr>
        <w:pStyle w:val="Sourcereference"/>
        <w:spacing w:after="0"/>
        <w:rPr>
          <w:b/>
          <w:bCs/>
          <w:sz w:val="24"/>
        </w:rPr>
      </w:pPr>
      <w:r w:rsidRPr="00BA612C">
        <w:rPr>
          <w:b/>
          <w:bCs/>
          <w:noProof/>
          <w:sz w:val="24"/>
          <w:lang w:val="nl-NL" w:eastAsia="nl-NL"/>
        </w:rPr>
        <w:drawing>
          <wp:inline distT="0" distB="0" distL="0" distR="0" wp14:anchorId="45788D0E" wp14:editId="3CC82FF9">
            <wp:extent cx="5486400" cy="4638675"/>
            <wp:effectExtent l="0" t="0" r="19050" b="952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B08820E" w14:textId="77777777" w:rsidR="00623E3E" w:rsidRPr="00BA612C" w:rsidRDefault="00623E3E" w:rsidP="002723EC">
      <w:pPr>
        <w:pStyle w:val="Sourcereference"/>
        <w:spacing w:after="0"/>
      </w:pPr>
      <w:r w:rsidRPr="00BA612C">
        <w:t>Source: EUSILC UDB 2014 – version 2 of August 2016 (and preceding UDBs)</w:t>
      </w:r>
    </w:p>
    <w:p w14:paraId="4861921F" w14:textId="77777777" w:rsidR="00623E3E" w:rsidRPr="00BA612C" w:rsidRDefault="00623E3E" w:rsidP="002723EC">
      <w:pPr>
        <w:pStyle w:val="Sourcereference"/>
        <w:spacing w:after="0"/>
        <w:rPr>
          <w:b/>
          <w:bCs/>
          <w:sz w:val="24"/>
        </w:rPr>
      </w:pPr>
    </w:p>
    <w:p w14:paraId="50721DCA" w14:textId="77777777" w:rsidR="00623E3E" w:rsidRPr="00BA612C" w:rsidRDefault="00623E3E" w:rsidP="002723EC">
      <w:pPr>
        <w:pStyle w:val="Sourcereference"/>
        <w:spacing w:after="0"/>
        <w:rPr>
          <w:i w:val="0"/>
          <w:iCs/>
          <w:sz w:val="24"/>
        </w:rPr>
      </w:pPr>
      <w:r w:rsidRPr="00BA612C">
        <w:rPr>
          <w:i w:val="0"/>
          <w:iCs/>
          <w:sz w:val="24"/>
        </w:rPr>
        <w:t>Fluctuations in the gendered tends for people with impairments should be treated with caution, although the pattern is somewhat similar for those without.</w:t>
      </w:r>
    </w:p>
    <w:p w14:paraId="10B7C494" w14:textId="77777777" w:rsidR="00E552F3" w:rsidRPr="00BA612C" w:rsidRDefault="00E552F3" w:rsidP="002723EC">
      <w:pPr>
        <w:pStyle w:val="Sourcereference"/>
        <w:spacing w:after="0"/>
        <w:rPr>
          <w:i w:val="0"/>
          <w:sz w:val="24"/>
          <w:lang w:eastAsia="en-GB"/>
        </w:rPr>
      </w:pPr>
    </w:p>
    <w:p w14:paraId="2399EDB1" w14:textId="77777777" w:rsidR="00082E6D" w:rsidRPr="00BA612C" w:rsidRDefault="00082E6D" w:rsidP="002723EC">
      <w:pPr>
        <w:pStyle w:val="Un-numberedsubheading"/>
        <w:spacing w:after="0"/>
      </w:pPr>
      <w:r w:rsidRPr="00BA612C">
        <w:t>Alternative data on disability and unemployment from national sources:</w:t>
      </w:r>
    </w:p>
    <w:p w14:paraId="68CE55BC" w14:textId="32A932AC" w:rsidR="00561FF5" w:rsidRPr="00BA612C" w:rsidRDefault="00561FF5" w:rsidP="002723EC"/>
    <w:p w14:paraId="74FD0BCC" w14:textId="68CFDED4" w:rsidR="00E552F3" w:rsidRPr="00BA612C" w:rsidRDefault="00865BDB" w:rsidP="002723EC">
      <w:r w:rsidRPr="00BA612C">
        <w:t>In 2015, a total of 12.073 officially recognised persons with disabilities was unemployed (7.563 men, 4</w:t>
      </w:r>
      <w:r w:rsidR="00C34EB2">
        <w:t>.</w:t>
      </w:r>
      <w:r w:rsidRPr="00BA612C">
        <w:t>510 women). Compared to 2014, this i</w:t>
      </w:r>
      <w:r w:rsidR="00C34EB2">
        <w:t>ndicates an increase of 15% (14.</w:t>
      </w:r>
      <w:r w:rsidRPr="00BA612C">
        <w:t>7% men, 15.4% women).</w:t>
      </w:r>
      <w:r w:rsidRPr="00BA612C">
        <w:rPr>
          <w:rStyle w:val="FootnoteReference"/>
        </w:rPr>
        <w:footnoteReference w:id="12"/>
      </w:r>
      <w:r w:rsidRPr="00BA612C">
        <w:t xml:space="preserve"> </w:t>
      </w:r>
      <w:r w:rsidR="00F17F41" w:rsidRPr="00BA612C">
        <w:t xml:space="preserve">This equals an unemployment rate of </w:t>
      </w:r>
      <w:r w:rsidR="00C34EB2">
        <w:t>11.</w:t>
      </w:r>
      <w:r w:rsidR="00487B71" w:rsidRPr="00BA612C">
        <w:t xml:space="preserve">97% (own calculation; no gender specific data available for the overall number of officially recognised persons with disabilities) which is distinctly lower than the rate provided by EUROSTAT. However, in the national data provided for 2015, there is a difference of 24.692 persons between the total of officially recognised persons with disabilities and the number of those who are employed or unemployed. It is unclear if these persons are looking for a job or if they are available for the labour market. We assume that they are not registered as unemployed persons at the labour market service. If we add these officially recognised persons for the calculation, the unemployment of persons with disabilities on the Austrian labour </w:t>
      </w:r>
      <w:r w:rsidR="00C34EB2">
        <w:t>market dramatically rises to 36.</w:t>
      </w:r>
      <w:r w:rsidR="00487B71" w:rsidRPr="00BA612C">
        <w:t xml:space="preserve">45% (own calculation). This is another example of how poor data on persons with disabilities is in Austria. </w:t>
      </w:r>
      <w:r w:rsidRPr="00BA612C">
        <w:t>In September 2016, a total of 12.081 officially recognised persons with disabilities was unemployed (7.458 men, 4.623 women).</w:t>
      </w:r>
      <w:r w:rsidR="00367519" w:rsidRPr="00BA612C">
        <w:rPr>
          <w:rStyle w:val="FootnoteReference"/>
        </w:rPr>
        <w:footnoteReference w:id="13"/>
      </w:r>
    </w:p>
    <w:p w14:paraId="2A1FFB11" w14:textId="77777777" w:rsidR="007603E4" w:rsidRPr="00BA612C" w:rsidRDefault="007603E4" w:rsidP="002723EC"/>
    <w:p w14:paraId="3E062D7B" w14:textId="666DD4DA" w:rsidR="00CB7A46" w:rsidRPr="00BA612C" w:rsidRDefault="00DC3887" w:rsidP="002723EC">
      <w:r w:rsidRPr="00BA612C">
        <w:t>In addition</w:t>
      </w:r>
      <w:r w:rsidR="00BC1691" w:rsidRPr="00BA612C">
        <w:t xml:space="preserve"> to the unemployed officially recognised persons with disabilities 54.571 persons with health problems were unemployed (33.151 men, 21.420 women). T</w:t>
      </w:r>
      <w:r w:rsidR="00C34EB2">
        <w:t>his indicates an increase of 15.9</w:t>
      </w:r>
      <w:r w:rsidR="00BC1691" w:rsidRPr="00BA612C">
        <w:t>% (15.8% men, 16% women) compared to 2014.</w:t>
      </w:r>
      <w:r w:rsidR="00BC1691" w:rsidRPr="00BA612C">
        <w:rPr>
          <w:rStyle w:val="FootnoteReference"/>
        </w:rPr>
        <w:footnoteReference w:id="14"/>
      </w:r>
      <w:r w:rsidR="00BC1691" w:rsidRPr="00BA612C">
        <w:t xml:space="preserve"> In September 2016, 58.174 persons with he</w:t>
      </w:r>
      <w:r w:rsidR="0075476E">
        <w:t>alth problems were unemployed (</w:t>
      </w:r>
      <w:bookmarkStart w:id="12" w:name="_GoBack"/>
      <w:bookmarkEnd w:id="12"/>
      <w:r w:rsidR="00BC1691" w:rsidRPr="00BA612C">
        <w:t>34.496 men, 23.678 women). This in</w:t>
      </w:r>
      <w:r w:rsidR="00C34EB2">
        <w:t>dicates an increase of 8.87% (7.5% men, 10.</w:t>
      </w:r>
      <w:r w:rsidR="00BC1691" w:rsidRPr="00BA612C">
        <w:t>8% women)</w:t>
      </w:r>
      <w:r w:rsidR="00501E9B" w:rsidRPr="00BA612C">
        <w:t>.</w:t>
      </w:r>
      <w:r w:rsidR="00BC1691" w:rsidRPr="00BA612C">
        <w:rPr>
          <w:rStyle w:val="FootnoteReference"/>
        </w:rPr>
        <w:footnoteReference w:id="15"/>
      </w:r>
    </w:p>
    <w:p w14:paraId="08E8765E" w14:textId="77777777" w:rsidR="00524CC8" w:rsidRPr="00BA612C" w:rsidRDefault="00524CC8" w:rsidP="002723EC"/>
    <w:p w14:paraId="02399863" w14:textId="31DD112B" w:rsidR="007603E4" w:rsidRPr="00BA612C" w:rsidRDefault="00B71AF9" w:rsidP="002723EC">
      <w:r w:rsidRPr="00BA612C">
        <w:t xml:space="preserve">In 2015, </w:t>
      </w:r>
      <w:r w:rsidR="00131053" w:rsidRPr="00BA612C">
        <w:t>p</w:t>
      </w:r>
      <w:r w:rsidRPr="00BA612C">
        <w:t>ersons with disabilities amounted to 19% of all unemployed persons in Austria, compared to 18% in 2014.</w:t>
      </w:r>
      <w:r w:rsidRPr="00BA612C">
        <w:rPr>
          <w:rStyle w:val="FootnoteReference"/>
        </w:rPr>
        <w:footnoteReference w:id="16"/>
      </w:r>
    </w:p>
    <w:p w14:paraId="1D964BC0" w14:textId="77777777" w:rsidR="007603E4" w:rsidRPr="00BA612C" w:rsidRDefault="007603E4" w:rsidP="002723EC"/>
    <w:p w14:paraId="36AB6050" w14:textId="38BA3A43" w:rsidR="007603E4" w:rsidRPr="00BA612C" w:rsidRDefault="007603E4" w:rsidP="002723EC">
      <w:r w:rsidRPr="00BA612C">
        <w:t>Data provided by EUROSTAT indicates a decrease of unemployment among disabled men, however, national data indicates a distinct increase of unemployment for both men and women.</w:t>
      </w:r>
    </w:p>
    <w:p w14:paraId="6AFC41B8" w14:textId="3D3B05C5" w:rsidR="008E5160" w:rsidRPr="00C34EB2" w:rsidRDefault="008E5160" w:rsidP="002723EC">
      <w:pPr>
        <w:pStyle w:val="Sourcereference"/>
        <w:spacing w:after="0"/>
        <w:rPr>
          <w:i w:val="0"/>
          <w:sz w:val="24"/>
        </w:rPr>
      </w:pPr>
    </w:p>
    <w:p w14:paraId="31BFA3CB" w14:textId="5E5770EA" w:rsidR="008E5160" w:rsidRPr="00BA612C" w:rsidRDefault="008E5160" w:rsidP="002723EC">
      <w:pPr>
        <w:pStyle w:val="Caption"/>
        <w:rPr>
          <w:sz w:val="24"/>
          <w:szCs w:val="24"/>
        </w:rPr>
      </w:pPr>
      <w:r w:rsidRPr="00BA612C">
        <w:rPr>
          <w:sz w:val="24"/>
          <w:szCs w:val="24"/>
        </w:rPr>
        <w:t xml:space="preserve">Figure </w:t>
      </w:r>
      <w:r w:rsidR="00C81C3D" w:rsidRPr="00BA612C">
        <w:rPr>
          <w:sz w:val="24"/>
          <w:szCs w:val="24"/>
        </w:rPr>
        <w:fldChar w:fldCharType="begin"/>
      </w:r>
      <w:r w:rsidR="00C81C3D" w:rsidRPr="00BA612C">
        <w:rPr>
          <w:sz w:val="24"/>
          <w:szCs w:val="24"/>
        </w:rPr>
        <w:instrText xml:space="preserve"> SEQ Figure \* ARABIC </w:instrText>
      </w:r>
      <w:r w:rsidR="00C81C3D" w:rsidRPr="00BA612C">
        <w:rPr>
          <w:sz w:val="24"/>
          <w:szCs w:val="24"/>
        </w:rPr>
        <w:fldChar w:fldCharType="separate"/>
      </w:r>
      <w:r w:rsidR="009A3178">
        <w:rPr>
          <w:noProof/>
          <w:sz w:val="24"/>
          <w:szCs w:val="24"/>
        </w:rPr>
        <w:t>1</w:t>
      </w:r>
      <w:r w:rsidR="00C81C3D" w:rsidRPr="00BA612C">
        <w:rPr>
          <w:noProof/>
          <w:sz w:val="24"/>
          <w:szCs w:val="24"/>
        </w:rPr>
        <w:fldChar w:fldCharType="end"/>
      </w:r>
      <w:r w:rsidRPr="00BA612C">
        <w:rPr>
          <w:sz w:val="24"/>
          <w:szCs w:val="24"/>
        </w:rPr>
        <w:t xml:space="preserve">: Increase in unemployment </w:t>
      </w:r>
    </w:p>
    <w:p w14:paraId="1FFB7279" w14:textId="77777777" w:rsidR="008E5160" w:rsidRPr="00BA612C" w:rsidRDefault="008E5160" w:rsidP="002723EC">
      <w:r w:rsidRPr="00BA612C">
        <w:rPr>
          <w:noProof/>
          <w:lang w:val="nl-NL" w:eastAsia="nl-NL"/>
        </w:rPr>
        <w:drawing>
          <wp:inline distT="0" distB="0" distL="0" distR="0" wp14:anchorId="580C4568" wp14:editId="69CF8F27">
            <wp:extent cx="5731510" cy="2551012"/>
            <wp:effectExtent l="0" t="0" r="21590" b="2095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AD2388B" w14:textId="18D115B4" w:rsidR="00FB1D8E" w:rsidRPr="00BA612C" w:rsidRDefault="008E5160" w:rsidP="00A316BB">
      <w:pPr>
        <w:pStyle w:val="Sourcereference"/>
        <w:spacing w:after="0"/>
      </w:pPr>
      <w:r w:rsidRPr="00BA612C">
        <w:t xml:space="preserve">Source: </w:t>
      </w:r>
      <w:r w:rsidR="00995D21" w:rsidRPr="00BA612C">
        <w:t>Arbeitsmarktservice (</w:t>
      </w:r>
      <w:r w:rsidRPr="00BA612C">
        <w:t>Employment service</w:t>
      </w:r>
      <w:r w:rsidR="00995D21" w:rsidRPr="00BA612C">
        <w:t>)</w:t>
      </w:r>
      <w:r w:rsidRPr="00BA612C">
        <w:t xml:space="preserve">, national unemployment statistics </w:t>
      </w:r>
    </w:p>
    <w:p w14:paraId="4EBBFC31" w14:textId="1C2BBB4B" w:rsidR="008A5AB7" w:rsidRPr="00BA612C" w:rsidRDefault="00561FF5" w:rsidP="00524CC8">
      <w:pPr>
        <w:pStyle w:val="Heading3"/>
      </w:pPr>
      <w:bookmarkStart w:id="13" w:name="_Toc429999637"/>
      <w:bookmarkStart w:id="14" w:name="_Toc483400171"/>
      <w:r w:rsidRPr="00BA612C">
        <w:t>Economic activity</w:t>
      </w:r>
      <w:bookmarkEnd w:id="13"/>
      <w:bookmarkEnd w:id="14"/>
    </w:p>
    <w:p w14:paraId="54BCF4B3" w14:textId="77777777" w:rsidR="002D4373" w:rsidRPr="00BA612C" w:rsidRDefault="002D4373" w:rsidP="002D4373"/>
    <w:p w14:paraId="6ADB1725" w14:textId="207EBE99" w:rsidR="00623E3E" w:rsidRPr="00BA612C" w:rsidRDefault="00623E3E" w:rsidP="002723EC">
      <w:pPr>
        <w:pStyle w:val="Caption"/>
        <w:rPr>
          <w:sz w:val="24"/>
          <w:szCs w:val="24"/>
        </w:rPr>
      </w:pPr>
      <w:r w:rsidRPr="00BA612C">
        <w:rPr>
          <w:sz w:val="24"/>
          <w:szCs w:val="24"/>
        </w:rPr>
        <w:t xml:space="preserve">Table </w:t>
      </w:r>
      <w:r w:rsidR="0001019B" w:rsidRPr="00BA612C">
        <w:rPr>
          <w:sz w:val="24"/>
          <w:szCs w:val="24"/>
        </w:rPr>
        <w:fldChar w:fldCharType="begin"/>
      </w:r>
      <w:r w:rsidR="0001019B" w:rsidRPr="00BA612C">
        <w:rPr>
          <w:sz w:val="24"/>
          <w:szCs w:val="24"/>
        </w:rPr>
        <w:instrText xml:space="preserve"> SEQ Table \* ARABIC </w:instrText>
      </w:r>
      <w:r w:rsidR="0001019B" w:rsidRPr="00BA612C">
        <w:rPr>
          <w:sz w:val="24"/>
          <w:szCs w:val="24"/>
        </w:rPr>
        <w:fldChar w:fldCharType="separate"/>
      </w:r>
      <w:r w:rsidR="009A3178">
        <w:rPr>
          <w:noProof/>
          <w:sz w:val="24"/>
          <w:szCs w:val="24"/>
        </w:rPr>
        <w:t>9</w:t>
      </w:r>
      <w:r w:rsidR="0001019B" w:rsidRPr="00BA612C">
        <w:rPr>
          <w:noProof/>
          <w:sz w:val="24"/>
          <w:szCs w:val="24"/>
        </w:rPr>
        <w:fldChar w:fldCharType="end"/>
      </w:r>
      <w:r w:rsidRPr="00BA612C">
        <w:rPr>
          <w:noProof/>
          <w:sz w:val="24"/>
          <w:szCs w:val="24"/>
        </w:rPr>
        <w:t>: Most recent economic activty data, aged 20-64</w:t>
      </w:r>
    </w:p>
    <w:p w14:paraId="7213C60C" w14:textId="77777777" w:rsidR="00623E3E" w:rsidRPr="00BA612C" w:rsidRDefault="00623E3E" w:rsidP="002723EC">
      <w:r w:rsidRPr="00BA612C">
        <w:rPr>
          <w:noProof/>
          <w:lang w:val="nl-NL" w:eastAsia="nl-NL"/>
        </w:rPr>
        <w:drawing>
          <wp:inline distT="0" distB="0" distL="0" distR="0" wp14:anchorId="2C46E585" wp14:editId="36DFD8A3">
            <wp:extent cx="5583044" cy="2594517"/>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BA1B1DE" w14:textId="77777777" w:rsidR="00623E3E" w:rsidRPr="00BA612C" w:rsidRDefault="00623E3E" w:rsidP="002723EC">
      <w:pPr>
        <w:pStyle w:val="Sourcereference"/>
        <w:spacing w:after="0"/>
        <w:rPr>
          <w:lang w:eastAsia="en-GB"/>
        </w:rPr>
      </w:pPr>
      <w:r w:rsidRPr="00BA612C">
        <w:t xml:space="preserve">Source: </w:t>
      </w:r>
      <w:r w:rsidRPr="00BA612C">
        <w:rPr>
          <w:lang w:eastAsia="en-GB"/>
        </w:rPr>
        <w:t>EUSILC UDB 2014 – version 2 of August 2016</w:t>
      </w:r>
    </w:p>
    <w:p w14:paraId="006EE25F" w14:textId="612C32B7" w:rsidR="002D4373" w:rsidRPr="00C34EB2" w:rsidRDefault="002D4373" w:rsidP="00C34EB2">
      <w:pPr>
        <w:rPr>
          <w:bCs/>
        </w:rPr>
      </w:pPr>
    </w:p>
    <w:p w14:paraId="05318711" w14:textId="26ED3211" w:rsidR="00623E3E" w:rsidRPr="00BA612C" w:rsidRDefault="00623E3E" w:rsidP="00C34EB2">
      <w:pPr>
        <w:pStyle w:val="Caption"/>
        <w:rPr>
          <w:sz w:val="24"/>
          <w:szCs w:val="24"/>
        </w:rPr>
      </w:pPr>
      <w:r w:rsidRPr="00BA612C">
        <w:rPr>
          <w:sz w:val="24"/>
          <w:szCs w:val="24"/>
        </w:rPr>
        <w:t xml:space="preserve">Table </w:t>
      </w:r>
      <w:r w:rsidR="0001019B" w:rsidRPr="00BA612C">
        <w:rPr>
          <w:sz w:val="24"/>
          <w:szCs w:val="24"/>
        </w:rPr>
        <w:fldChar w:fldCharType="begin"/>
      </w:r>
      <w:r w:rsidR="0001019B" w:rsidRPr="00BA612C">
        <w:rPr>
          <w:sz w:val="24"/>
          <w:szCs w:val="24"/>
        </w:rPr>
        <w:instrText xml:space="preserve"> SEQ Table \* ARABIC </w:instrText>
      </w:r>
      <w:r w:rsidR="0001019B" w:rsidRPr="00BA612C">
        <w:rPr>
          <w:sz w:val="24"/>
          <w:szCs w:val="24"/>
        </w:rPr>
        <w:fldChar w:fldCharType="separate"/>
      </w:r>
      <w:r w:rsidR="009A3178">
        <w:rPr>
          <w:noProof/>
          <w:sz w:val="24"/>
          <w:szCs w:val="24"/>
        </w:rPr>
        <w:t>10</w:t>
      </w:r>
      <w:r w:rsidR="0001019B" w:rsidRPr="00BA612C">
        <w:rPr>
          <w:noProof/>
          <w:sz w:val="24"/>
          <w:szCs w:val="24"/>
        </w:rPr>
        <w:fldChar w:fldCharType="end"/>
      </w:r>
      <w:r w:rsidRPr="00BA612C">
        <w:rPr>
          <w:sz w:val="24"/>
          <w:szCs w:val="24"/>
        </w:rPr>
        <w:t>: Activity rate data, by age group</w:t>
      </w:r>
    </w:p>
    <w:p w14:paraId="58173C90" w14:textId="77777777" w:rsidR="00623E3E" w:rsidRPr="00BA612C" w:rsidRDefault="00623E3E" w:rsidP="002723EC">
      <w:r w:rsidRPr="00BA612C">
        <w:rPr>
          <w:noProof/>
          <w:lang w:val="nl-NL" w:eastAsia="nl-NL"/>
        </w:rPr>
        <w:drawing>
          <wp:inline distT="0" distB="0" distL="0" distR="0" wp14:anchorId="4486BD55" wp14:editId="001A30BD">
            <wp:extent cx="5583044" cy="2668858"/>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E7B52A8" w14:textId="77777777" w:rsidR="00623E3E" w:rsidRPr="00BA612C" w:rsidRDefault="00623E3E" w:rsidP="002723EC">
      <w:pPr>
        <w:pStyle w:val="Sourcereference"/>
        <w:spacing w:after="0"/>
        <w:rPr>
          <w:lang w:eastAsia="en-GB"/>
        </w:rPr>
      </w:pPr>
      <w:r w:rsidRPr="00BA612C">
        <w:t xml:space="preserve">Source: </w:t>
      </w:r>
      <w:r w:rsidRPr="00BA612C">
        <w:rPr>
          <w:lang w:eastAsia="en-GB"/>
        </w:rPr>
        <w:t>EUSILC UDB 2014 – version 2 of August 2016</w:t>
      </w:r>
    </w:p>
    <w:p w14:paraId="2C1EB18D" w14:textId="77777777" w:rsidR="00623E3E" w:rsidRPr="00BA612C" w:rsidRDefault="00623E3E" w:rsidP="002723EC">
      <w:pPr>
        <w:rPr>
          <w:lang w:eastAsia="en-GB"/>
        </w:rPr>
      </w:pPr>
    </w:p>
    <w:p w14:paraId="308E42BE" w14:textId="394A0655" w:rsidR="00623E3E" w:rsidRPr="00BA612C" w:rsidRDefault="00623E3E" w:rsidP="002723EC">
      <w:pPr>
        <w:pStyle w:val="Caption"/>
        <w:keepNext/>
        <w:rPr>
          <w:sz w:val="24"/>
          <w:szCs w:val="24"/>
        </w:rPr>
      </w:pPr>
      <w:r w:rsidRPr="00BA612C">
        <w:rPr>
          <w:sz w:val="24"/>
          <w:szCs w:val="24"/>
        </w:rPr>
        <w:t xml:space="preserve">Table </w:t>
      </w:r>
      <w:r w:rsidR="0001019B" w:rsidRPr="00BA612C">
        <w:rPr>
          <w:sz w:val="24"/>
          <w:szCs w:val="24"/>
        </w:rPr>
        <w:fldChar w:fldCharType="begin"/>
      </w:r>
      <w:r w:rsidR="0001019B" w:rsidRPr="00BA612C">
        <w:rPr>
          <w:sz w:val="24"/>
          <w:szCs w:val="24"/>
        </w:rPr>
        <w:instrText xml:space="preserve"> SEQ Table \* ARABIC </w:instrText>
      </w:r>
      <w:r w:rsidR="0001019B" w:rsidRPr="00BA612C">
        <w:rPr>
          <w:sz w:val="24"/>
          <w:szCs w:val="24"/>
        </w:rPr>
        <w:fldChar w:fldCharType="separate"/>
      </w:r>
      <w:r w:rsidR="009A3178">
        <w:rPr>
          <w:noProof/>
          <w:sz w:val="24"/>
          <w:szCs w:val="24"/>
        </w:rPr>
        <w:t>11</w:t>
      </w:r>
      <w:r w:rsidR="0001019B" w:rsidRPr="00BA612C">
        <w:rPr>
          <w:noProof/>
          <w:sz w:val="24"/>
          <w:szCs w:val="24"/>
        </w:rPr>
        <w:fldChar w:fldCharType="end"/>
      </w:r>
      <w:r w:rsidRPr="00BA612C">
        <w:rPr>
          <w:sz w:val="24"/>
          <w:szCs w:val="24"/>
        </w:rPr>
        <w:t>: Trends in activity rates by gender and disability (aged 20-64)</w:t>
      </w:r>
    </w:p>
    <w:p w14:paraId="5CA348AA" w14:textId="77777777" w:rsidR="00623E3E" w:rsidRPr="00BA612C" w:rsidRDefault="00623E3E" w:rsidP="002723EC">
      <w:r w:rsidRPr="00BA612C">
        <w:rPr>
          <w:noProof/>
          <w:lang w:val="nl-NL" w:eastAsia="nl-NL"/>
        </w:rPr>
        <w:drawing>
          <wp:inline distT="0" distB="0" distL="0" distR="0" wp14:anchorId="07CC6162" wp14:editId="46C0B236">
            <wp:extent cx="5486400" cy="4638675"/>
            <wp:effectExtent l="0" t="0" r="19050" b="952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F279332" w14:textId="77777777" w:rsidR="00623E3E" w:rsidRPr="00BA612C" w:rsidRDefault="00623E3E" w:rsidP="002723EC">
      <w:pPr>
        <w:pStyle w:val="Sourcereference"/>
        <w:spacing w:after="0"/>
        <w:rPr>
          <w:lang w:eastAsia="en-GB"/>
        </w:rPr>
      </w:pPr>
      <w:r w:rsidRPr="00BA612C">
        <w:t xml:space="preserve">Source: </w:t>
      </w:r>
      <w:r w:rsidRPr="00BA612C">
        <w:rPr>
          <w:lang w:eastAsia="en-GB"/>
        </w:rPr>
        <w:t>EUSILC UDB 2014 – version 2 of August 2016 (and preceding UDBs)</w:t>
      </w:r>
    </w:p>
    <w:p w14:paraId="576D96C9" w14:textId="77777777" w:rsidR="00855E84" w:rsidRPr="00BA612C" w:rsidRDefault="00855E84" w:rsidP="002723EC">
      <w:pPr>
        <w:pStyle w:val="Un-numberedsubheading"/>
        <w:spacing w:after="0"/>
      </w:pPr>
    </w:p>
    <w:p w14:paraId="581D670B" w14:textId="36A2073A" w:rsidR="005831C6" w:rsidRPr="00BA612C" w:rsidRDefault="0066278F" w:rsidP="002723EC">
      <w:pPr>
        <w:pStyle w:val="Un-numberedsubheading"/>
        <w:spacing w:after="0"/>
      </w:pPr>
      <w:r w:rsidRPr="00BA612C">
        <w:t xml:space="preserve">Alternative data on disability and </w:t>
      </w:r>
      <w:r w:rsidR="00ED4CF4" w:rsidRPr="00BA612C">
        <w:t>economic activity</w:t>
      </w:r>
      <w:r w:rsidRPr="00BA612C">
        <w:t xml:space="preserve"> </w:t>
      </w:r>
      <w:r w:rsidR="00803568" w:rsidRPr="00BA612C">
        <w:t>provided by the national expert</w:t>
      </w:r>
      <w:r w:rsidRPr="00BA612C">
        <w:t>:</w:t>
      </w:r>
    </w:p>
    <w:p w14:paraId="32CE0D4F" w14:textId="77777777" w:rsidR="00A04124" w:rsidRPr="00BA612C" w:rsidRDefault="00A04124" w:rsidP="002723EC"/>
    <w:p w14:paraId="25E15276" w14:textId="5AC80EF3" w:rsidR="00A04124" w:rsidRPr="00BA612C" w:rsidRDefault="00B71AF9" w:rsidP="002723EC">
      <w:r w:rsidRPr="00BA612C">
        <w:t xml:space="preserve">No new data is available. </w:t>
      </w:r>
      <w:r w:rsidR="00A04124" w:rsidRPr="00BA612C">
        <w:t>Regarding the economic activity rate (Erwerbsstatus), Statistics Austria does not address persons with disabilities in their statistical overview</w:t>
      </w:r>
      <w:r w:rsidR="00855E84" w:rsidRPr="00BA612C">
        <w:t>,</w:t>
      </w:r>
      <w:r w:rsidR="00A04124" w:rsidRPr="00BA612C">
        <w:rPr>
          <w:rStyle w:val="FootnoteReference"/>
        </w:rPr>
        <w:footnoteReference w:id="17"/>
      </w:r>
      <w:r w:rsidR="00DC0CD9" w:rsidRPr="00BA612C">
        <w:t xml:space="preserve"> but addresses the issue in another source</w:t>
      </w:r>
      <w:r w:rsidR="001D7240" w:rsidRPr="00BA612C">
        <w:t xml:space="preserve"> that provides new EU</w:t>
      </w:r>
      <w:r w:rsidR="0095330A" w:rsidRPr="00BA612C">
        <w:t xml:space="preserve"> </w:t>
      </w:r>
      <w:r w:rsidR="00DC0CD9" w:rsidRPr="00BA612C">
        <w:t>SILC data.</w:t>
      </w:r>
      <w:r w:rsidR="00DC0CD9" w:rsidRPr="00BA612C">
        <w:rPr>
          <w:rStyle w:val="FootnoteReference"/>
        </w:rPr>
        <w:footnoteReference w:id="18"/>
      </w:r>
      <w:r w:rsidR="00DC0CD9" w:rsidRPr="00BA612C">
        <w:t xml:space="preserve"> In the category ‘severely impaired by disability’ (stark beeinträchtigt durch Behinderung)</w:t>
      </w:r>
      <w:r w:rsidR="00DC0CD9" w:rsidRPr="00BA612C">
        <w:rPr>
          <w:rStyle w:val="FootnoteReference"/>
        </w:rPr>
        <w:footnoteReference w:id="19"/>
      </w:r>
      <w:r w:rsidR="00DC0CD9" w:rsidRPr="00BA612C">
        <w:t xml:space="preserve"> for people between the age 20 and 64, Table 4.3b shows</w:t>
      </w:r>
      <w:r w:rsidR="00610D51" w:rsidRPr="00BA612C">
        <w:t xml:space="preserve"> 352</w:t>
      </w:r>
      <w:r w:rsidR="00C34EB2">
        <w:t>.</w:t>
      </w:r>
      <w:r w:rsidR="00DC0CD9" w:rsidRPr="00BA612C">
        <w:t xml:space="preserve">000 persons (7% of the overall mentioned population of </w:t>
      </w:r>
      <w:r w:rsidR="00610D51" w:rsidRPr="00BA612C">
        <w:t>5</w:t>
      </w:r>
      <w:r w:rsidR="00C34EB2">
        <w:t>.</w:t>
      </w:r>
      <w:r w:rsidR="00610D51" w:rsidRPr="00BA612C">
        <w:t>152</w:t>
      </w:r>
      <w:r w:rsidR="00C34EB2">
        <w:t>.</w:t>
      </w:r>
      <w:r w:rsidR="00DC0CD9" w:rsidRPr="00BA612C">
        <w:t>000 persons). Regarding the economic activity rate in this category of pe</w:t>
      </w:r>
      <w:r w:rsidR="001B57D2" w:rsidRPr="00BA612C">
        <w:t>rsons, Table 4.3b refers to 176</w:t>
      </w:r>
      <w:r w:rsidR="00C34EB2">
        <w:t>.000 persons (4</w:t>
      </w:r>
      <w:r w:rsidR="00DC0CD9" w:rsidRPr="00BA612C">
        <w:t>%) economically activ</w:t>
      </w:r>
      <w:r w:rsidR="001B57D2" w:rsidRPr="00BA612C">
        <w:t>e (erwerbsaktiv) persons, and 17</w:t>
      </w:r>
      <w:r w:rsidR="00DC0CD9" w:rsidRPr="00BA612C">
        <w:t xml:space="preserve">% economically inactive persons </w:t>
      </w:r>
      <w:r w:rsidR="001B57D2" w:rsidRPr="00BA612C">
        <w:t>(</w:t>
      </w:r>
      <w:r w:rsidR="00DC0CD9" w:rsidRPr="00BA612C">
        <w:t>nicht</w:t>
      </w:r>
      <w:r w:rsidR="001B57D2" w:rsidRPr="00BA612C">
        <w:t xml:space="preserve"> </w:t>
      </w:r>
      <w:r w:rsidR="00DC0CD9" w:rsidRPr="00BA612C">
        <w:t>erwerbsaktiv).</w:t>
      </w:r>
    </w:p>
    <w:p w14:paraId="79F52DC5" w14:textId="77777777" w:rsidR="00A04124" w:rsidRPr="00BA612C" w:rsidRDefault="00A04124" w:rsidP="002723EC"/>
    <w:p w14:paraId="6D6F0E9F" w14:textId="5A6D9D87" w:rsidR="00855E84" w:rsidRPr="00BA612C" w:rsidRDefault="00FF0C96" w:rsidP="002723EC">
      <w:r w:rsidRPr="00BA612C">
        <w:t>It is i</w:t>
      </w:r>
      <w:r w:rsidR="00622C07" w:rsidRPr="00BA612C">
        <w:t>mportant to mention</w:t>
      </w:r>
      <w:r w:rsidRPr="00BA612C">
        <w:t xml:space="preserve"> that</w:t>
      </w:r>
      <w:r w:rsidR="00622C07" w:rsidRPr="00BA612C">
        <w:t xml:space="preserve"> p</w:t>
      </w:r>
      <w:r w:rsidR="00486074" w:rsidRPr="00BA612C">
        <w:t>e</w:t>
      </w:r>
      <w:r w:rsidR="005A279B" w:rsidRPr="00BA612C">
        <w:t>rsons</w:t>
      </w:r>
      <w:r w:rsidR="00486074" w:rsidRPr="00BA612C">
        <w:t xml:space="preserve"> with disabilities who are in sheltered workshop</w:t>
      </w:r>
      <w:r w:rsidRPr="00BA612C">
        <w:t>s</w:t>
      </w:r>
      <w:r w:rsidR="00486074" w:rsidRPr="00BA612C">
        <w:t>, which are the responsibility of the nine Laender, are not included in any labour market or labour force data. In 201</w:t>
      </w:r>
      <w:r w:rsidR="002B7429" w:rsidRPr="00BA612C">
        <w:t>2</w:t>
      </w:r>
      <w:r w:rsidR="00486074" w:rsidRPr="00BA612C">
        <w:t>, 20</w:t>
      </w:r>
      <w:r w:rsidR="00C34EB2">
        <w:t>.</w:t>
      </w:r>
      <w:r w:rsidR="00486074" w:rsidRPr="00BA612C">
        <w:t>563 men and women with disabilities attended sheltered workshops</w:t>
      </w:r>
      <w:r w:rsidR="003B75F8" w:rsidRPr="00BA612C">
        <w:t>.</w:t>
      </w:r>
      <w:r w:rsidR="00C11BD8" w:rsidRPr="00BA612C">
        <w:rPr>
          <w:rStyle w:val="FootnoteReference"/>
        </w:rPr>
        <w:footnoteReference w:id="20"/>
      </w:r>
      <w:r w:rsidR="00486074" w:rsidRPr="00BA612C">
        <w:t xml:space="preserve"> These pe</w:t>
      </w:r>
      <w:r w:rsidR="00C675D8" w:rsidRPr="00BA612C">
        <w:t>rsons</w:t>
      </w:r>
      <w:r w:rsidR="00486074" w:rsidRPr="00BA612C">
        <w:t xml:space="preserve"> are </w:t>
      </w:r>
      <w:r w:rsidRPr="00BA612C">
        <w:t>defined by the</w:t>
      </w:r>
      <w:r w:rsidR="00486074" w:rsidRPr="00BA612C">
        <w:t xml:space="preserve"> Federal Disability Employment </w:t>
      </w:r>
      <w:r w:rsidR="00BB1EE6" w:rsidRPr="00BA612C">
        <w:t>A</w:t>
      </w:r>
      <w:r w:rsidR="00486074" w:rsidRPr="00BA612C">
        <w:t>ct</w:t>
      </w:r>
      <w:r w:rsidR="00D11714" w:rsidRPr="00BA612C">
        <w:rPr>
          <w:rStyle w:val="FootnoteReference"/>
        </w:rPr>
        <w:footnoteReference w:id="21"/>
      </w:r>
      <w:r w:rsidR="00486074" w:rsidRPr="00BA612C">
        <w:t xml:space="preserve"> </w:t>
      </w:r>
      <w:r w:rsidRPr="00BA612C">
        <w:t xml:space="preserve">as </w:t>
      </w:r>
      <w:r w:rsidR="00486074" w:rsidRPr="00BA612C">
        <w:t>not employable and are thus excluded of all measures for vocational integration.</w:t>
      </w:r>
      <w:r w:rsidR="00131053" w:rsidRPr="00BA612C">
        <w:t xml:space="preserve"> </w:t>
      </w:r>
      <w:r w:rsidR="007A484B" w:rsidRPr="00BA612C">
        <w:t>No exact data is available, but in a respond to a parliamentary request the Minister for Social Affairs assumed that in 2014 about 23.000 persons with disabilities were in sheltered workshops.</w:t>
      </w:r>
      <w:r w:rsidR="007A484B" w:rsidRPr="00BA612C">
        <w:rPr>
          <w:rStyle w:val="FootnoteReference"/>
        </w:rPr>
        <w:footnoteReference w:id="22"/>
      </w:r>
    </w:p>
    <w:p w14:paraId="48C02DD2" w14:textId="77777777" w:rsidR="00855E84" w:rsidRPr="00BA612C" w:rsidRDefault="00855E84" w:rsidP="002723EC"/>
    <w:p w14:paraId="79E35AAA" w14:textId="0057FF85" w:rsidR="000E59E4" w:rsidRPr="00BA612C" w:rsidRDefault="00BF6032" w:rsidP="002723EC">
      <w:pPr>
        <w:pStyle w:val="Heading2"/>
        <w:rPr>
          <w:szCs w:val="24"/>
        </w:rPr>
      </w:pPr>
      <w:bookmarkStart w:id="15" w:name="_Toc429999638"/>
      <w:bookmarkStart w:id="16" w:name="_Toc483400172"/>
      <w:r w:rsidRPr="00BA612C">
        <w:rPr>
          <w:szCs w:val="24"/>
        </w:rPr>
        <w:t>Education</w:t>
      </w:r>
      <w:r w:rsidR="00D939BF" w:rsidRPr="00BA612C">
        <w:rPr>
          <w:szCs w:val="24"/>
        </w:rPr>
        <w:t xml:space="preserve"> data</w:t>
      </w:r>
      <w:bookmarkEnd w:id="15"/>
      <w:bookmarkEnd w:id="16"/>
    </w:p>
    <w:p w14:paraId="0FAAB8D8" w14:textId="77777777" w:rsidR="00855E84" w:rsidRPr="00BA612C" w:rsidRDefault="00855E84" w:rsidP="002723EC">
      <w:pPr>
        <w:pStyle w:val="BodyText"/>
        <w:spacing w:after="0"/>
      </w:pPr>
    </w:p>
    <w:p w14:paraId="6E02A5BE" w14:textId="77777777" w:rsidR="00623E3E" w:rsidRPr="00BA612C" w:rsidRDefault="00623E3E" w:rsidP="002723EC">
      <w:pPr>
        <w:pStyle w:val="BodyText"/>
        <w:spacing w:after="0"/>
      </w:pPr>
      <w:r w:rsidRPr="00BA612C">
        <w:t>EU statistical comparisons are more limited concerning the education of young disabled women and men in the EU2020 target age groups. Data is available from EU-SILC (annually) as well as the Eurostat Labour Force Survey ad-hoc disability module (for 2011), but with low reliability for several countries on the key measures.</w:t>
      </w:r>
      <w:r w:rsidRPr="00BA612C">
        <w:rPr>
          <w:rStyle w:val="FootnoteReference"/>
        </w:rPr>
        <w:footnoteReference w:id="23"/>
      </w:r>
      <w:r w:rsidRPr="00BA612C">
        <w:t xml:space="preserve"> Using a wider age range can improve reliability but estimations by gender remain indicative. EU trends are evident but administrative data may offer more reliable alternatives to identify national trends, where available.</w:t>
      </w:r>
    </w:p>
    <w:p w14:paraId="2381EAFF" w14:textId="77777777" w:rsidR="00855E84" w:rsidRPr="00BA612C" w:rsidRDefault="00855E84" w:rsidP="002723EC">
      <w:pPr>
        <w:pStyle w:val="BodyText"/>
        <w:spacing w:after="0"/>
      </w:pPr>
    </w:p>
    <w:p w14:paraId="1E9EDED6" w14:textId="3D29713B" w:rsidR="00561FF5" w:rsidRPr="00BA612C" w:rsidRDefault="00561FF5" w:rsidP="002723EC">
      <w:pPr>
        <w:pStyle w:val="Heading3"/>
      </w:pPr>
      <w:bookmarkStart w:id="17" w:name="_Toc429999639"/>
      <w:bookmarkStart w:id="18" w:name="_Toc483400173"/>
      <w:r w:rsidRPr="00BA612C">
        <w:t>Early school leavers</w:t>
      </w:r>
      <w:bookmarkEnd w:id="17"/>
      <w:bookmarkEnd w:id="18"/>
    </w:p>
    <w:p w14:paraId="26907296" w14:textId="77777777" w:rsidR="00855E84" w:rsidRPr="00BA612C" w:rsidRDefault="00855E84" w:rsidP="002723EC">
      <w:pPr>
        <w:pStyle w:val="BodyText"/>
        <w:spacing w:after="0"/>
      </w:pPr>
    </w:p>
    <w:p w14:paraId="17A064DA" w14:textId="77777777" w:rsidR="000F657B" w:rsidRPr="00BA612C" w:rsidRDefault="000F657B" w:rsidP="002723EC">
      <w:pPr>
        <w:pStyle w:val="BodyText"/>
        <w:spacing w:after="0"/>
      </w:pPr>
      <w:r w:rsidRPr="00BA612C">
        <w:t xml:space="preserve">The </w:t>
      </w:r>
      <w:r w:rsidR="00C37551" w:rsidRPr="00BA612C">
        <w:t>EU-</w:t>
      </w:r>
      <w:r w:rsidRPr="00BA612C">
        <w:t>SILC sample for the target age group (aged 18-24) includes the following number of people reporting activity ‘limitation’</w:t>
      </w:r>
      <w:r w:rsidR="00C37551" w:rsidRPr="00BA612C">
        <w:t xml:space="preserve"> (</w:t>
      </w:r>
      <w:r w:rsidR="00ED4CF4" w:rsidRPr="00BA612C">
        <w:t xml:space="preserve">as </w:t>
      </w:r>
      <w:r w:rsidR="00C37551" w:rsidRPr="00BA612C">
        <w:t>a proxy for impairment/disability)</w:t>
      </w:r>
      <w:r w:rsidRPr="00BA612C">
        <w:t>.</w:t>
      </w:r>
    </w:p>
    <w:p w14:paraId="7A923EAE" w14:textId="77777777" w:rsidR="002D4373" w:rsidRPr="00BA612C" w:rsidRDefault="002D4373" w:rsidP="002723EC">
      <w:pPr>
        <w:pStyle w:val="BodyText"/>
        <w:spacing w:after="0"/>
      </w:pPr>
    </w:p>
    <w:p w14:paraId="0A74F5F0" w14:textId="311A3609" w:rsidR="00623E3E" w:rsidRPr="00BA612C" w:rsidRDefault="00623E3E" w:rsidP="002723EC">
      <w:pPr>
        <w:pStyle w:val="Caption"/>
        <w:rPr>
          <w:sz w:val="24"/>
          <w:szCs w:val="24"/>
        </w:rPr>
      </w:pPr>
      <w:r w:rsidRPr="00BA612C">
        <w:rPr>
          <w:sz w:val="24"/>
          <w:szCs w:val="24"/>
        </w:rPr>
        <w:t xml:space="preserve">Table </w:t>
      </w:r>
      <w:r w:rsidR="0001019B" w:rsidRPr="00BA612C">
        <w:rPr>
          <w:sz w:val="24"/>
          <w:szCs w:val="24"/>
        </w:rPr>
        <w:fldChar w:fldCharType="begin"/>
      </w:r>
      <w:r w:rsidR="0001019B" w:rsidRPr="00BA612C">
        <w:rPr>
          <w:sz w:val="24"/>
          <w:szCs w:val="24"/>
        </w:rPr>
        <w:instrText xml:space="preserve"> SEQ Table \* ARABIC </w:instrText>
      </w:r>
      <w:r w:rsidR="0001019B" w:rsidRPr="00BA612C">
        <w:rPr>
          <w:sz w:val="24"/>
          <w:szCs w:val="24"/>
        </w:rPr>
        <w:fldChar w:fldCharType="separate"/>
      </w:r>
      <w:r w:rsidR="009A3178">
        <w:rPr>
          <w:noProof/>
          <w:sz w:val="24"/>
          <w:szCs w:val="24"/>
        </w:rPr>
        <w:t>12</w:t>
      </w:r>
      <w:r w:rsidR="0001019B" w:rsidRPr="00BA612C">
        <w:rPr>
          <w:noProof/>
          <w:sz w:val="24"/>
          <w:szCs w:val="24"/>
        </w:rPr>
        <w:fldChar w:fldCharType="end"/>
      </w:r>
      <w:r w:rsidRPr="00BA612C">
        <w:rPr>
          <w:sz w:val="24"/>
          <w:szCs w:val="24"/>
        </w:rPr>
        <w:t>: EU-SILC sample size in the target age group 18-24 versus 18-29</w:t>
      </w:r>
    </w:p>
    <w:tbl>
      <w:tblPr>
        <w:tblStyle w:val="TableGrid"/>
        <w:tblW w:w="0" w:type="auto"/>
        <w:tblLook w:val="04A0" w:firstRow="1" w:lastRow="0" w:firstColumn="1" w:lastColumn="0" w:noHBand="0" w:noVBand="1"/>
      </w:tblPr>
      <w:tblGrid>
        <w:gridCol w:w="1636"/>
        <w:gridCol w:w="2024"/>
        <w:gridCol w:w="1801"/>
        <w:gridCol w:w="2024"/>
        <w:gridCol w:w="1801"/>
      </w:tblGrid>
      <w:tr w:rsidR="00623E3E" w:rsidRPr="00BA612C" w14:paraId="08B22A04" w14:textId="77777777" w:rsidTr="001A711F">
        <w:tc>
          <w:tcPr>
            <w:tcW w:w="0" w:type="auto"/>
          </w:tcPr>
          <w:p w14:paraId="440BB900" w14:textId="77777777" w:rsidR="00623E3E" w:rsidRPr="00BA612C" w:rsidRDefault="00623E3E" w:rsidP="002723EC"/>
        </w:tc>
        <w:tc>
          <w:tcPr>
            <w:tcW w:w="0" w:type="auto"/>
            <w:gridSpan w:val="2"/>
          </w:tcPr>
          <w:p w14:paraId="10C5136A" w14:textId="77777777" w:rsidR="00623E3E" w:rsidRPr="00BA612C" w:rsidRDefault="00623E3E" w:rsidP="002723EC">
            <w:r w:rsidRPr="00BA612C">
              <w:t>Age 18-24</w:t>
            </w:r>
          </w:p>
        </w:tc>
        <w:tc>
          <w:tcPr>
            <w:tcW w:w="0" w:type="auto"/>
            <w:gridSpan w:val="2"/>
          </w:tcPr>
          <w:p w14:paraId="738677E3" w14:textId="77777777" w:rsidR="00623E3E" w:rsidRPr="00BA612C" w:rsidRDefault="00623E3E" w:rsidP="002723EC">
            <w:r w:rsidRPr="00BA612C">
              <w:t>Age 18-29</w:t>
            </w:r>
          </w:p>
        </w:tc>
      </w:tr>
      <w:tr w:rsidR="00623E3E" w:rsidRPr="00BA612C" w14:paraId="4F2CC91E" w14:textId="77777777" w:rsidTr="001A711F">
        <w:tc>
          <w:tcPr>
            <w:tcW w:w="0" w:type="auto"/>
          </w:tcPr>
          <w:p w14:paraId="36029A52" w14:textId="77777777" w:rsidR="00623E3E" w:rsidRPr="00BA612C" w:rsidRDefault="00623E3E" w:rsidP="002723EC"/>
        </w:tc>
        <w:tc>
          <w:tcPr>
            <w:tcW w:w="0" w:type="auto"/>
          </w:tcPr>
          <w:p w14:paraId="1CE6FE7A" w14:textId="77777777" w:rsidR="00623E3E" w:rsidRPr="00BA612C" w:rsidRDefault="00623E3E" w:rsidP="002723EC">
            <w:r w:rsidRPr="00BA612C">
              <w:t>No activity ‘limitation’</w:t>
            </w:r>
          </w:p>
        </w:tc>
        <w:tc>
          <w:tcPr>
            <w:tcW w:w="0" w:type="auto"/>
          </w:tcPr>
          <w:p w14:paraId="64BD5B1F" w14:textId="77777777" w:rsidR="00623E3E" w:rsidRPr="00BA612C" w:rsidRDefault="00623E3E" w:rsidP="002723EC">
            <w:r w:rsidRPr="00BA612C">
              <w:t>Activity ‘limitation’</w:t>
            </w:r>
          </w:p>
        </w:tc>
        <w:tc>
          <w:tcPr>
            <w:tcW w:w="0" w:type="auto"/>
          </w:tcPr>
          <w:p w14:paraId="4F5D9512" w14:textId="77777777" w:rsidR="00623E3E" w:rsidRPr="00BA612C" w:rsidRDefault="00623E3E" w:rsidP="002723EC">
            <w:r w:rsidRPr="00BA612C">
              <w:t>No activity ‘limitation’</w:t>
            </w:r>
          </w:p>
        </w:tc>
        <w:tc>
          <w:tcPr>
            <w:tcW w:w="0" w:type="auto"/>
          </w:tcPr>
          <w:p w14:paraId="542CA117" w14:textId="77777777" w:rsidR="00623E3E" w:rsidRPr="00BA612C" w:rsidRDefault="00623E3E" w:rsidP="002723EC">
            <w:r w:rsidRPr="00BA612C">
              <w:t>Activity ‘limitation’</w:t>
            </w:r>
          </w:p>
        </w:tc>
      </w:tr>
      <w:tr w:rsidR="00623E3E" w:rsidRPr="00BA612C" w14:paraId="2E908DFA" w14:textId="77777777" w:rsidTr="001A711F">
        <w:tc>
          <w:tcPr>
            <w:tcW w:w="0" w:type="auto"/>
          </w:tcPr>
          <w:p w14:paraId="042C74F8" w14:textId="77777777" w:rsidR="00623E3E" w:rsidRPr="00BA612C" w:rsidRDefault="00623E3E" w:rsidP="002723EC">
            <w:r w:rsidRPr="00BA612C">
              <w:t>EU sample</w:t>
            </w:r>
          </w:p>
        </w:tc>
        <w:tc>
          <w:tcPr>
            <w:tcW w:w="0" w:type="auto"/>
          </w:tcPr>
          <w:p w14:paraId="3890053E" w14:textId="77777777" w:rsidR="00623E3E" w:rsidRPr="00BA612C" w:rsidRDefault="00623E3E" w:rsidP="002723EC">
            <w:r w:rsidRPr="00BA612C">
              <w:t>33,905</w:t>
            </w:r>
          </w:p>
        </w:tc>
        <w:tc>
          <w:tcPr>
            <w:tcW w:w="0" w:type="auto"/>
          </w:tcPr>
          <w:p w14:paraId="0825E961" w14:textId="77777777" w:rsidR="00623E3E" w:rsidRPr="00BA612C" w:rsidRDefault="00623E3E" w:rsidP="002723EC">
            <w:r w:rsidRPr="00BA612C">
              <w:t>2,608</w:t>
            </w:r>
          </w:p>
        </w:tc>
        <w:tc>
          <w:tcPr>
            <w:tcW w:w="0" w:type="auto"/>
          </w:tcPr>
          <w:p w14:paraId="3176D726" w14:textId="77777777" w:rsidR="00623E3E" w:rsidRPr="00BA612C" w:rsidRDefault="00623E3E" w:rsidP="002723EC">
            <w:r w:rsidRPr="00BA612C">
              <w:t>56,110</w:t>
            </w:r>
          </w:p>
        </w:tc>
        <w:tc>
          <w:tcPr>
            <w:tcW w:w="0" w:type="auto"/>
          </w:tcPr>
          <w:p w14:paraId="3728AD63" w14:textId="77777777" w:rsidR="00623E3E" w:rsidRPr="00BA612C" w:rsidRDefault="00623E3E" w:rsidP="002723EC">
            <w:r w:rsidRPr="00BA612C">
              <w:t>4,738</w:t>
            </w:r>
          </w:p>
        </w:tc>
      </w:tr>
      <w:tr w:rsidR="00623E3E" w:rsidRPr="00BA612C" w14:paraId="03977931" w14:textId="77777777" w:rsidTr="001A711F">
        <w:tc>
          <w:tcPr>
            <w:tcW w:w="0" w:type="auto"/>
          </w:tcPr>
          <w:p w14:paraId="7AA36F95" w14:textId="77777777" w:rsidR="00623E3E" w:rsidRPr="00BA612C" w:rsidRDefault="00623E3E" w:rsidP="002723EC">
            <w:r w:rsidRPr="00BA612C">
              <w:t>National sample</w:t>
            </w:r>
          </w:p>
        </w:tc>
        <w:tc>
          <w:tcPr>
            <w:tcW w:w="0" w:type="auto"/>
          </w:tcPr>
          <w:p w14:paraId="6AFC9712" w14:textId="77777777" w:rsidR="00623E3E" w:rsidRPr="00BA612C" w:rsidRDefault="00623E3E" w:rsidP="002723EC">
            <w:r w:rsidRPr="00BA612C">
              <w:t>857</w:t>
            </w:r>
          </w:p>
        </w:tc>
        <w:tc>
          <w:tcPr>
            <w:tcW w:w="0" w:type="auto"/>
          </w:tcPr>
          <w:p w14:paraId="773C75C3" w14:textId="77777777" w:rsidR="00623E3E" w:rsidRPr="00BA612C" w:rsidRDefault="00623E3E" w:rsidP="002723EC">
            <w:r w:rsidRPr="00BA612C">
              <w:t>132</w:t>
            </w:r>
          </w:p>
        </w:tc>
        <w:tc>
          <w:tcPr>
            <w:tcW w:w="0" w:type="auto"/>
          </w:tcPr>
          <w:p w14:paraId="657EAD27" w14:textId="77777777" w:rsidR="00623E3E" w:rsidRPr="00BA612C" w:rsidRDefault="00623E3E" w:rsidP="002723EC">
            <w:r w:rsidRPr="00BA612C">
              <w:t>1,419</w:t>
            </w:r>
          </w:p>
        </w:tc>
        <w:tc>
          <w:tcPr>
            <w:tcW w:w="0" w:type="auto"/>
          </w:tcPr>
          <w:p w14:paraId="47C59FFD" w14:textId="77777777" w:rsidR="00623E3E" w:rsidRPr="00BA612C" w:rsidRDefault="00623E3E" w:rsidP="002723EC">
            <w:r w:rsidRPr="00BA612C">
              <w:t>218</w:t>
            </w:r>
          </w:p>
        </w:tc>
      </w:tr>
    </w:tbl>
    <w:p w14:paraId="57C03B6A" w14:textId="24B6907B" w:rsidR="00623E3E" w:rsidRPr="00BA612C" w:rsidRDefault="00623E3E" w:rsidP="00A316BB">
      <w:pPr>
        <w:pStyle w:val="Sourcereference"/>
        <w:spacing w:after="0"/>
        <w:rPr>
          <w:lang w:eastAsia="en-GB"/>
        </w:rPr>
      </w:pPr>
      <w:r w:rsidRPr="00BA612C">
        <w:t xml:space="preserve">Source: </w:t>
      </w:r>
      <w:r w:rsidRPr="00BA612C">
        <w:rPr>
          <w:lang w:eastAsia="en-GB"/>
        </w:rPr>
        <w:t>EUSILC UDB 2014 – version 2 of August 2016</w:t>
      </w:r>
    </w:p>
    <w:p w14:paraId="04B428A7" w14:textId="009E2DD5" w:rsidR="00623E3E" w:rsidRPr="00BA612C" w:rsidRDefault="00623E3E" w:rsidP="002723EC">
      <w:pPr>
        <w:pStyle w:val="Caption"/>
        <w:rPr>
          <w:sz w:val="24"/>
          <w:szCs w:val="24"/>
        </w:rPr>
      </w:pPr>
      <w:r w:rsidRPr="00BA612C">
        <w:rPr>
          <w:sz w:val="24"/>
          <w:szCs w:val="24"/>
        </w:rPr>
        <w:t xml:space="preserve">Table </w:t>
      </w:r>
      <w:r w:rsidR="0001019B" w:rsidRPr="00BA612C">
        <w:rPr>
          <w:sz w:val="24"/>
          <w:szCs w:val="24"/>
        </w:rPr>
        <w:fldChar w:fldCharType="begin"/>
      </w:r>
      <w:r w:rsidR="0001019B" w:rsidRPr="00BA612C">
        <w:rPr>
          <w:sz w:val="24"/>
          <w:szCs w:val="24"/>
        </w:rPr>
        <w:instrText xml:space="preserve"> SEQ Table \* ARABIC </w:instrText>
      </w:r>
      <w:r w:rsidR="0001019B" w:rsidRPr="00BA612C">
        <w:rPr>
          <w:sz w:val="24"/>
          <w:szCs w:val="24"/>
        </w:rPr>
        <w:fldChar w:fldCharType="separate"/>
      </w:r>
      <w:r w:rsidR="009A3178">
        <w:rPr>
          <w:noProof/>
          <w:sz w:val="24"/>
          <w:szCs w:val="24"/>
        </w:rPr>
        <w:t>13</w:t>
      </w:r>
      <w:r w:rsidR="0001019B" w:rsidRPr="00BA612C">
        <w:rPr>
          <w:noProof/>
          <w:sz w:val="24"/>
          <w:szCs w:val="24"/>
        </w:rPr>
        <w:fldChar w:fldCharType="end"/>
      </w:r>
      <w:r w:rsidRPr="00BA612C">
        <w:rPr>
          <w:sz w:val="24"/>
          <w:szCs w:val="24"/>
        </w:rPr>
        <w:t xml:space="preserve">: </w:t>
      </w:r>
      <w:r w:rsidRPr="00BA612C">
        <w:rPr>
          <w:noProof/>
          <w:sz w:val="24"/>
          <w:szCs w:val="24"/>
        </w:rPr>
        <w:t>Early school leavers aged 18-24 (indicative based on above sample size)</w:t>
      </w:r>
    </w:p>
    <w:p w14:paraId="0E884BAA" w14:textId="77777777" w:rsidR="00623E3E" w:rsidRPr="00BA612C" w:rsidRDefault="00623E3E" w:rsidP="002723EC">
      <w:r w:rsidRPr="00BA612C">
        <w:rPr>
          <w:noProof/>
          <w:lang w:val="nl-NL" w:eastAsia="nl-NL"/>
        </w:rPr>
        <w:drawing>
          <wp:inline distT="0" distB="0" distL="0" distR="0" wp14:anchorId="1F2F550B" wp14:editId="75DE3812">
            <wp:extent cx="5486400" cy="2364059"/>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DCB66B1" w14:textId="77777777" w:rsidR="00623E3E" w:rsidRPr="00BA612C" w:rsidRDefault="00623E3E" w:rsidP="002723EC">
      <w:pPr>
        <w:pStyle w:val="Sourcereference"/>
        <w:spacing w:after="0"/>
        <w:rPr>
          <w:lang w:eastAsia="en-GB"/>
        </w:rPr>
      </w:pPr>
      <w:r w:rsidRPr="00BA612C">
        <w:t xml:space="preserve">Source: </w:t>
      </w:r>
      <w:r w:rsidRPr="00BA612C">
        <w:rPr>
          <w:lang w:eastAsia="en-GB"/>
        </w:rPr>
        <w:t>EUSILC UDB 2014 – version 2 of August 2016</w:t>
      </w:r>
    </w:p>
    <w:p w14:paraId="006CE09F" w14:textId="4DAA6D80" w:rsidR="00643FC9" w:rsidRPr="00BA612C" w:rsidRDefault="00643FC9" w:rsidP="002723EC">
      <w:pPr>
        <w:rPr>
          <w:lang w:eastAsia="en-GB"/>
        </w:rPr>
      </w:pPr>
    </w:p>
    <w:p w14:paraId="48BCF739" w14:textId="23CA48FD" w:rsidR="00AC1131" w:rsidRPr="00BA612C" w:rsidRDefault="00AC1131" w:rsidP="002723EC">
      <w:pPr>
        <w:pStyle w:val="Un-numberedsubheading"/>
        <w:spacing w:after="0"/>
      </w:pPr>
      <w:r w:rsidRPr="00BA612C">
        <w:t xml:space="preserve">Alternative data on disability and early school leavers </w:t>
      </w:r>
      <w:r w:rsidR="00803568" w:rsidRPr="00BA612C">
        <w:t>provided by the national expert</w:t>
      </w:r>
      <w:r w:rsidRPr="00BA612C">
        <w:t>:</w:t>
      </w:r>
    </w:p>
    <w:p w14:paraId="31054F75" w14:textId="77777777" w:rsidR="00855E84" w:rsidRPr="00BA612C" w:rsidRDefault="00855E84" w:rsidP="002723EC"/>
    <w:p w14:paraId="14651715" w14:textId="0A2C0FA6" w:rsidR="00ED4CF4" w:rsidRPr="00BA612C" w:rsidRDefault="0039424A" w:rsidP="002723EC">
      <w:r w:rsidRPr="00BA612C">
        <w:t xml:space="preserve">As reported in </w:t>
      </w:r>
      <w:r w:rsidR="001A711F" w:rsidRPr="00BA612C">
        <w:t>previous years</w:t>
      </w:r>
      <w:r w:rsidRPr="00BA612C">
        <w:t xml:space="preserve">, specific data on the education of persons with disabilities is scarcely available in Austria. This has not changed recently: young people with disabilities are not identified in data on early school leaving. Data </w:t>
      </w:r>
      <w:r w:rsidR="00E45362" w:rsidRPr="00BA612C">
        <w:t xml:space="preserve">available </w:t>
      </w:r>
      <w:r w:rsidRPr="00BA612C">
        <w:t xml:space="preserve">on the general population differs from the </w:t>
      </w:r>
      <w:r w:rsidR="00E45362" w:rsidRPr="00BA612C">
        <w:t xml:space="preserve">above </w:t>
      </w:r>
      <w:r w:rsidRPr="00BA612C">
        <w:t>EU</w:t>
      </w:r>
      <w:r w:rsidR="00FF0C96" w:rsidRPr="00BA612C">
        <w:t xml:space="preserve"> </w:t>
      </w:r>
      <w:r w:rsidRPr="00BA612C">
        <w:t>SILC data</w:t>
      </w:r>
      <w:r w:rsidR="001A711F" w:rsidRPr="00BA612C">
        <w:t>: For the age group of 18-24</w:t>
      </w:r>
      <w:r w:rsidRPr="00BA612C">
        <w:t xml:space="preserve"> the national average of early school leavers was 7</w:t>
      </w:r>
      <w:r w:rsidR="00FF0C96" w:rsidRPr="00BA612C">
        <w:t>.</w:t>
      </w:r>
      <w:r w:rsidR="001A711F" w:rsidRPr="00BA612C">
        <w:t>3</w:t>
      </w:r>
      <w:r w:rsidRPr="00BA612C">
        <w:t xml:space="preserve">% (women: </w:t>
      </w:r>
      <w:r w:rsidR="001A711F" w:rsidRPr="00BA612C">
        <w:t>6</w:t>
      </w:r>
      <w:r w:rsidR="00FF0C96" w:rsidRPr="00BA612C">
        <w:t>.</w:t>
      </w:r>
      <w:r w:rsidR="001A711F" w:rsidRPr="00BA612C">
        <w:t>8</w:t>
      </w:r>
      <w:r w:rsidRPr="00BA612C">
        <w:t>%, men:</w:t>
      </w:r>
      <w:r w:rsidR="005666EF" w:rsidRPr="00BA612C">
        <w:t xml:space="preserve"> </w:t>
      </w:r>
      <w:r w:rsidR="001A711F" w:rsidRPr="00BA612C">
        <w:t>7</w:t>
      </w:r>
      <w:r w:rsidR="00FF0C96" w:rsidRPr="00BA612C">
        <w:t>.</w:t>
      </w:r>
      <w:r w:rsidR="001A711F" w:rsidRPr="00BA612C">
        <w:t>8</w:t>
      </w:r>
      <w:r w:rsidRPr="00BA612C">
        <w:t xml:space="preserve">%) in </w:t>
      </w:r>
      <w:r w:rsidR="001A711F" w:rsidRPr="00BA612C">
        <w:t>2015</w:t>
      </w:r>
      <w:r w:rsidRPr="00BA612C">
        <w:t>.</w:t>
      </w:r>
      <w:r w:rsidR="001A711F" w:rsidRPr="00BA612C">
        <w:rPr>
          <w:rStyle w:val="FootnoteReference"/>
        </w:rPr>
        <w:footnoteReference w:id="24"/>
      </w:r>
      <w:r w:rsidR="001A711F" w:rsidRPr="00BA612C">
        <w:t xml:space="preserve"> No national data is available for the age group 18-29.</w:t>
      </w:r>
    </w:p>
    <w:p w14:paraId="14014CC7" w14:textId="77777777" w:rsidR="00472A70" w:rsidRPr="00BA612C" w:rsidRDefault="00472A70" w:rsidP="002723EC"/>
    <w:p w14:paraId="1AA4C963" w14:textId="55826BA0" w:rsidR="00472A70" w:rsidRPr="00BA612C" w:rsidRDefault="00472A70" w:rsidP="002723EC">
      <w:r w:rsidRPr="00BA612C">
        <w:t>As already mentione</w:t>
      </w:r>
      <w:r w:rsidR="00104EA8" w:rsidRPr="00BA612C">
        <w:t>d</w:t>
      </w:r>
      <w:r w:rsidRPr="00BA612C">
        <w:t xml:space="preserve">, early school leaving of students with disabilities is not mentioned in the NAP </w:t>
      </w:r>
      <w:r w:rsidR="009B1CBF" w:rsidRPr="00BA612C">
        <w:t>D</w:t>
      </w:r>
      <w:r w:rsidRPr="00BA612C">
        <w:t>isability.</w:t>
      </w:r>
    </w:p>
    <w:p w14:paraId="52CD11F8" w14:textId="77777777" w:rsidR="00032FAA" w:rsidRPr="00BA612C" w:rsidRDefault="00032FAA" w:rsidP="002723EC"/>
    <w:p w14:paraId="19E3F027" w14:textId="77777777" w:rsidR="00561FF5" w:rsidRPr="00BA612C" w:rsidRDefault="00561FF5" w:rsidP="002723EC">
      <w:pPr>
        <w:pStyle w:val="Heading3"/>
      </w:pPr>
      <w:bookmarkStart w:id="19" w:name="_Toc429999640"/>
      <w:bookmarkStart w:id="20" w:name="_Toc483400174"/>
      <w:r w:rsidRPr="00BA612C">
        <w:t>Tertiary education</w:t>
      </w:r>
      <w:bookmarkEnd w:id="19"/>
      <w:bookmarkEnd w:id="20"/>
    </w:p>
    <w:p w14:paraId="4E8EDD8F" w14:textId="77777777" w:rsidR="00032FAA" w:rsidRPr="00BA612C" w:rsidRDefault="00032FAA" w:rsidP="002723EC">
      <w:pPr>
        <w:pStyle w:val="BodyText"/>
        <w:spacing w:after="0"/>
      </w:pPr>
    </w:p>
    <w:p w14:paraId="4366A2C6" w14:textId="5D0569E7" w:rsidR="00BE2AEC" w:rsidRPr="00BA612C" w:rsidRDefault="00BE2AEC" w:rsidP="002723EC">
      <w:r w:rsidRPr="00BA612C">
        <w:t>The EU-SILC sample for the target age group (aged 30-34) includes the following number of people reporting activity ‘limitation’ (a proxy for impairment/disability) although the number of missing observations is larger than the number of observations for activity limitation.</w:t>
      </w:r>
    </w:p>
    <w:p w14:paraId="33BCA3A7" w14:textId="77777777" w:rsidR="00B1775E" w:rsidRPr="00BA612C" w:rsidRDefault="00B1775E" w:rsidP="002723EC"/>
    <w:p w14:paraId="5CF30048" w14:textId="77777777" w:rsidR="00BA1846" w:rsidRDefault="00BA1846">
      <w:pPr>
        <w:spacing w:after="200" w:line="276" w:lineRule="auto"/>
        <w:rPr>
          <w:b/>
          <w:bCs/>
        </w:rPr>
      </w:pPr>
      <w:r>
        <w:rPr>
          <w:b/>
          <w:bCs/>
        </w:rPr>
        <w:br w:type="page"/>
      </w:r>
    </w:p>
    <w:p w14:paraId="537F543B" w14:textId="6C4F8298" w:rsidR="00BE2AEC" w:rsidRPr="00BA612C" w:rsidRDefault="00BE2AEC" w:rsidP="002723EC">
      <w:pPr>
        <w:rPr>
          <w:b/>
          <w:bCs/>
        </w:rPr>
      </w:pPr>
      <w:r w:rsidRPr="00BA612C">
        <w:rPr>
          <w:b/>
          <w:bCs/>
        </w:rPr>
        <w:t xml:space="preserve">Table </w:t>
      </w:r>
      <w:r w:rsidRPr="00BA612C">
        <w:rPr>
          <w:b/>
          <w:bCs/>
        </w:rPr>
        <w:fldChar w:fldCharType="begin"/>
      </w:r>
      <w:r w:rsidRPr="00BA612C">
        <w:rPr>
          <w:b/>
          <w:bCs/>
        </w:rPr>
        <w:instrText xml:space="preserve"> SEQ Table \* ARABIC </w:instrText>
      </w:r>
      <w:r w:rsidRPr="00BA612C">
        <w:rPr>
          <w:b/>
          <w:bCs/>
        </w:rPr>
        <w:fldChar w:fldCharType="separate"/>
      </w:r>
      <w:r w:rsidR="009A3178">
        <w:rPr>
          <w:b/>
          <w:bCs/>
          <w:noProof/>
        </w:rPr>
        <w:t>14</w:t>
      </w:r>
      <w:r w:rsidRPr="00BA612C">
        <w:rPr>
          <w:b/>
          <w:bCs/>
          <w:noProof/>
        </w:rPr>
        <w:fldChar w:fldCharType="end"/>
      </w:r>
      <w:r w:rsidRPr="00BA612C">
        <w:rPr>
          <w:b/>
          <w:bCs/>
        </w:rPr>
        <w:t>: EU-SILC sample size for the target age group 30-34 versus 30-39</w:t>
      </w:r>
    </w:p>
    <w:tbl>
      <w:tblPr>
        <w:tblStyle w:val="TableGrid1"/>
        <w:tblW w:w="0" w:type="auto"/>
        <w:tblLook w:val="04A0" w:firstRow="1" w:lastRow="0" w:firstColumn="1" w:lastColumn="0" w:noHBand="0" w:noVBand="1"/>
      </w:tblPr>
      <w:tblGrid>
        <w:gridCol w:w="1636"/>
        <w:gridCol w:w="2024"/>
        <w:gridCol w:w="1801"/>
        <w:gridCol w:w="2024"/>
        <w:gridCol w:w="1801"/>
      </w:tblGrid>
      <w:tr w:rsidR="00BE2AEC" w:rsidRPr="00BA612C" w14:paraId="613832B4" w14:textId="77777777" w:rsidTr="001A711F">
        <w:tc>
          <w:tcPr>
            <w:tcW w:w="0" w:type="auto"/>
          </w:tcPr>
          <w:p w14:paraId="56CF2E27" w14:textId="77777777" w:rsidR="00BE2AEC" w:rsidRPr="00BA612C" w:rsidRDefault="00BE2AEC" w:rsidP="002723EC"/>
        </w:tc>
        <w:tc>
          <w:tcPr>
            <w:tcW w:w="0" w:type="auto"/>
            <w:gridSpan w:val="2"/>
          </w:tcPr>
          <w:p w14:paraId="652A7C63" w14:textId="77777777" w:rsidR="00BE2AEC" w:rsidRPr="00BA612C" w:rsidRDefault="00BE2AEC" w:rsidP="002723EC">
            <w:r w:rsidRPr="00BA612C">
              <w:t>Age 30-34</w:t>
            </w:r>
          </w:p>
        </w:tc>
        <w:tc>
          <w:tcPr>
            <w:tcW w:w="0" w:type="auto"/>
            <w:gridSpan w:val="2"/>
          </w:tcPr>
          <w:p w14:paraId="29F2C339" w14:textId="77777777" w:rsidR="00BE2AEC" w:rsidRPr="00BA612C" w:rsidRDefault="00BE2AEC" w:rsidP="002723EC">
            <w:r w:rsidRPr="00BA612C">
              <w:t>Age 30-39</w:t>
            </w:r>
          </w:p>
        </w:tc>
      </w:tr>
      <w:tr w:rsidR="00BE2AEC" w:rsidRPr="00BA612C" w14:paraId="1EDE06B2" w14:textId="77777777" w:rsidTr="001A711F">
        <w:tc>
          <w:tcPr>
            <w:tcW w:w="0" w:type="auto"/>
          </w:tcPr>
          <w:p w14:paraId="43FE0ACB" w14:textId="77777777" w:rsidR="00BE2AEC" w:rsidRPr="00BA612C" w:rsidRDefault="00BE2AEC" w:rsidP="002723EC"/>
        </w:tc>
        <w:tc>
          <w:tcPr>
            <w:tcW w:w="0" w:type="auto"/>
          </w:tcPr>
          <w:p w14:paraId="03F0DAB4" w14:textId="77777777" w:rsidR="00BE2AEC" w:rsidRPr="00BA612C" w:rsidRDefault="00BE2AEC" w:rsidP="002723EC">
            <w:r w:rsidRPr="00BA612C">
              <w:t>No activity ‘limitation’</w:t>
            </w:r>
          </w:p>
        </w:tc>
        <w:tc>
          <w:tcPr>
            <w:tcW w:w="0" w:type="auto"/>
          </w:tcPr>
          <w:p w14:paraId="4A02CD68" w14:textId="77777777" w:rsidR="00BE2AEC" w:rsidRPr="00BA612C" w:rsidRDefault="00BE2AEC" w:rsidP="002723EC">
            <w:r w:rsidRPr="00BA612C">
              <w:t>Activity ‘limitation’</w:t>
            </w:r>
          </w:p>
        </w:tc>
        <w:tc>
          <w:tcPr>
            <w:tcW w:w="0" w:type="auto"/>
          </w:tcPr>
          <w:p w14:paraId="688EFA73" w14:textId="77777777" w:rsidR="00BE2AEC" w:rsidRPr="00BA612C" w:rsidRDefault="00BE2AEC" w:rsidP="002723EC">
            <w:r w:rsidRPr="00BA612C">
              <w:t>No activity ‘limitation’</w:t>
            </w:r>
          </w:p>
        </w:tc>
        <w:tc>
          <w:tcPr>
            <w:tcW w:w="0" w:type="auto"/>
          </w:tcPr>
          <w:p w14:paraId="502B0EA7" w14:textId="77777777" w:rsidR="00BE2AEC" w:rsidRPr="00BA612C" w:rsidRDefault="00BE2AEC" w:rsidP="002723EC">
            <w:r w:rsidRPr="00BA612C">
              <w:t>Activity ‘limitation’</w:t>
            </w:r>
          </w:p>
        </w:tc>
      </w:tr>
      <w:tr w:rsidR="00BE2AEC" w:rsidRPr="00BA612C" w14:paraId="0AD5DC75" w14:textId="77777777" w:rsidTr="001A711F">
        <w:tc>
          <w:tcPr>
            <w:tcW w:w="0" w:type="auto"/>
          </w:tcPr>
          <w:p w14:paraId="46B38EF7" w14:textId="77777777" w:rsidR="00BE2AEC" w:rsidRPr="00BA612C" w:rsidRDefault="00BE2AEC" w:rsidP="002723EC">
            <w:r w:rsidRPr="00BA612C">
              <w:t>EU sample</w:t>
            </w:r>
          </w:p>
        </w:tc>
        <w:tc>
          <w:tcPr>
            <w:tcW w:w="0" w:type="auto"/>
          </w:tcPr>
          <w:p w14:paraId="71806B53" w14:textId="77777777" w:rsidR="00BE2AEC" w:rsidRPr="00BA612C" w:rsidRDefault="00BE2AEC" w:rsidP="002723EC">
            <w:pPr>
              <w:tabs>
                <w:tab w:val="center" w:pos="898"/>
                <w:tab w:val="right" w:pos="1797"/>
              </w:tabs>
            </w:pPr>
            <w:r w:rsidRPr="00BA612C">
              <w:t>23,740</w:t>
            </w:r>
          </w:p>
        </w:tc>
        <w:tc>
          <w:tcPr>
            <w:tcW w:w="0" w:type="auto"/>
          </w:tcPr>
          <w:p w14:paraId="66A247EF" w14:textId="77777777" w:rsidR="00BE2AEC" w:rsidRPr="00BA612C" w:rsidRDefault="00BE2AEC" w:rsidP="002723EC">
            <w:r w:rsidRPr="00BA612C">
              <w:t>2,744</w:t>
            </w:r>
          </w:p>
        </w:tc>
        <w:tc>
          <w:tcPr>
            <w:tcW w:w="0" w:type="auto"/>
          </w:tcPr>
          <w:p w14:paraId="7AAE9488" w14:textId="77777777" w:rsidR="00BE2AEC" w:rsidRPr="00BA612C" w:rsidRDefault="00BE2AEC" w:rsidP="002723EC">
            <w:r w:rsidRPr="00BA612C">
              <w:t>50,243</w:t>
            </w:r>
          </w:p>
        </w:tc>
        <w:tc>
          <w:tcPr>
            <w:tcW w:w="0" w:type="auto"/>
          </w:tcPr>
          <w:p w14:paraId="16851726" w14:textId="77777777" w:rsidR="00BE2AEC" w:rsidRPr="00BA612C" w:rsidRDefault="00BE2AEC" w:rsidP="002723EC">
            <w:r w:rsidRPr="00BA612C">
              <w:t>6,572</w:t>
            </w:r>
          </w:p>
        </w:tc>
      </w:tr>
      <w:tr w:rsidR="00BE2AEC" w:rsidRPr="00BA612C" w14:paraId="72CF895A" w14:textId="77777777" w:rsidTr="001A711F">
        <w:tc>
          <w:tcPr>
            <w:tcW w:w="0" w:type="auto"/>
          </w:tcPr>
          <w:p w14:paraId="49772B34" w14:textId="77777777" w:rsidR="00BE2AEC" w:rsidRPr="00BA612C" w:rsidRDefault="00BE2AEC" w:rsidP="002723EC">
            <w:r w:rsidRPr="00BA612C">
              <w:t>National sample</w:t>
            </w:r>
          </w:p>
        </w:tc>
        <w:tc>
          <w:tcPr>
            <w:tcW w:w="0" w:type="auto"/>
          </w:tcPr>
          <w:p w14:paraId="7BC1344B" w14:textId="77777777" w:rsidR="00BE2AEC" w:rsidRPr="00BA612C" w:rsidRDefault="00BE2AEC" w:rsidP="002723EC">
            <w:r w:rsidRPr="00BA612C">
              <w:t>647</w:t>
            </w:r>
          </w:p>
        </w:tc>
        <w:tc>
          <w:tcPr>
            <w:tcW w:w="0" w:type="auto"/>
          </w:tcPr>
          <w:p w14:paraId="3E00093F" w14:textId="77777777" w:rsidR="00BE2AEC" w:rsidRPr="00BA612C" w:rsidRDefault="00BE2AEC" w:rsidP="002723EC">
            <w:r w:rsidRPr="00BA612C">
              <w:t>115</w:t>
            </w:r>
          </w:p>
        </w:tc>
        <w:tc>
          <w:tcPr>
            <w:tcW w:w="0" w:type="auto"/>
          </w:tcPr>
          <w:p w14:paraId="226F9439" w14:textId="77777777" w:rsidR="00BE2AEC" w:rsidRPr="00BA612C" w:rsidRDefault="00BE2AEC" w:rsidP="002723EC">
            <w:r w:rsidRPr="00BA612C">
              <w:t>1,250</w:t>
            </w:r>
          </w:p>
        </w:tc>
        <w:tc>
          <w:tcPr>
            <w:tcW w:w="0" w:type="auto"/>
          </w:tcPr>
          <w:p w14:paraId="2D961C7C" w14:textId="77777777" w:rsidR="00BE2AEC" w:rsidRPr="00BA612C" w:rsidRDefault="00BE2AEC" w:rsidP="002723EC">
            <w:r w:rsidRPr="00BA612C">
              <w:t>286</w:t>
            </w:r>
          </w:p>
        </w:tc>
      </w:tr>
    </w:tbl>
    <w:p w14:paraId="1ED52667" w14:textId="77777777" w:rsidR="00BE2AEC" w:rsidRPr="00BA612C" w:rsidRDefault="00BE2AEC" w:rsidP="002723EC">
      <w:pPr>
        <w:rPr>
          <w:i/>
          <w:lang w:eastAsia="en-GB"/>
        </w:rPr>
      </w:pPr>
      <w:r w:rsidRPr="00BA612C">
        <w:rPr>
          <w:i/>
          <w:sz w:val="20"/>
        </w:rPr>
        <w:t xml:space="preserve">Source: </w:t>
      </w:r>
      <w:r w:rsidRPr="00BA612C">
        <w:rPr>
          <w:i/>
          <w:sz w:val="20"/>
          <w:lang w:eastAsia="en-GB"/>
        </w:rPr>
        <w:t>EUSILC UDB 2014 – version 2 of August 2016</w:t>
      </w:r>
    </w:p>
    <w:p w14:paraId="722EF5B0" w14:textId="77777777" w:rsidR="00BE2AEC" w:rsidRPr="00BA612C" w:rsidRDefault="00BE2AEC" w:rsidP="002723EC">
      <w:pPr>
        <w:rPr>
          <w:lang w:eastAsia="en-GB"/>
        </w:rPr>
      </w:pPr>
    </w:p>
    <w:p w14:paraId="0E944A97" w14:textId="72EB6A6B" w:rsidR="00BE2AEC" w:rsidRPr="00BA612C" w:rsidRDefault="00BE2AEC" w:rsidP="002723EC">
      <w:pPr>
        <w:rPr>
          <w:b/>
          <w:bCs/>
        </w:rPr>
      </w:pPr>
      <w:r w:rsidRPr="00BA612C">
        <w:rPr>
          <w:b/>
          <w:bCs/>
        </w:rPr>
        <w:t xml:space="preserve">Table </w:t>
      </w:r>
      <w:r w:rsidRPr="00BA612C">
        <w:rPr>
          <w:b/>
          <w:bCs/>
        </w:rPr>
        <w:fldChar w:fldCharType="begin"/>
      </w:r>
      <w:r w:rsidRPr="00BA612C">
        <w:rPr>
          <w:b/>
          <w:bCs/>
        </w:rPr>
        <w:instrText xml:space="preserve"> SEQ Table \* ARABIC </w:instrText>
      </w:r>
      <w:r w:rsidRPr="00BA612C">
        <w:rPr>
          <w:b/>
          <w:bCs/>
        </w:rPr>
        <w:fldChar w:fldCharType="separate"/>
      </w:r>
      <w:r w:rsidR="009A3178">
        <w:rPr>
          <w:b/>
          <w:bCs/>
          <w:noProof/>
        </w:rPr>
        <w:t>15</w:t>
      </w:r>
      <w:r w:rsidRPr="00BA612C">
        <w:rPr>
          <w:b/>
          <w:bCs/>
          <w:noProof/>
        </w:rPr>
        <w:fldChar w:fldCharType="end"/>
      </w:r>
      <w:r w:rsidRPr="00BA612C">
        <w:rPr>
          <w:b/>
          <w:bCs/>
        </w:rPr>
        <w:t xml:space="preserve">: </w:t>
      </w:r>
      <w:r w:rsidRPr="00BA612C">
        <w:rPr>
          <w:b/>
          <w:bCs/>
          <w:noProof/>
        </w:rPr>
        <w:t>Completion of tertiary or equivalent education (indicative based on above sample)</w:t>
      </w:r>
    </w:p>
    <w:p w14:paraId="69FE3AD3" w14:textId="77777777" w:rsidR="00BE2AEC" w:rsidRPr="00BA612C" w:rsidRDefault="00BE2AEC" w:rsidP="002723EC">
      <w:r w:rsidRPr="00BA612C">
        <w:rPr>
          <w:noProof/>
          <w:lang w:val="nl-NL" w:eastAsia="nl-NL"/>
        </w:rPr>
        <w:drawing>
          <wp:inline distT="0" distB="0" distL="0" distR="0" wp14:anchorId="55A25788" wp14:editId="5004E11C">
            <wp:extent cx="5486400" cy="2364059"/>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923A4CA" w14:textId="77777777" w:rsidR="00BE2AEC" w:rsidRPr="00BA612C" w:rsidRDefault="00BE2AEC" w:rsidP="002723EC">
      <w:pPr>
        <w:rPr>
          <w:i/>
          <w:lang w:eastAsia="en-GB"/>
        </w:rPr>
      </w:pPr>
      <w:r w:rsidRPr="00BA612C">
        <w:rPr>
          <w:i/>
          <w:sz w:val="20"/>
        </w:rPr>
        <w:t xml:space="preserve">Source: </w:t>
      </w:r>
      <w:r w:rsidRPr="00BA612C">
        <w:rPr>
          <w:i/>
          <w:sz w:val="20"/>
          <w:lang w:eastAsia="en-GB"/>
        </w:rPr>
        <w:t>EUSILC UDB 2014 – version 2 of August 2016</w:t>
      </w:r>
    </w:p>
    <w:p w14:paraId="4E2DA5B2" w14:textId="77777777" w:rsidR="00B1775E" w:rsidRPr="00BA612C" w:rsidRDefault="00B1775E" w:rsidP="002723EC"/>
    <w:p w14:paraId="4775C80D" w14:textId="0F892EC8" w:rsidR="00BE2AEC" w:rsidRPr="00BA612C" w:rsidRDefault="00BE2AEC" w:rsidP="002723EC">
      <w:r w:rsidRPr="00BA612C">
        <w:t>The survey sample is not sufficient to provide robust trend data disaggregated by gender in the narrow EU2020 target age group. In only 12 out of 28 Member States are there more than 50 observations in the sample for both women and for men in aged 30-34 who also declare impairment/limitation. In 5 there are fewer than 20 observations for women or fo</w:t>
      </w:r>
      <w:r w:rsidR="00B1775E" w:rsidRPr="00BA612C">
        <w:t>r men, which cannot be reported</w:t>
      </w:r>
      <w:r w:rsidRPr="00BA612C">
        <w:t>. In all Member States except Austria the achievement of tertiary education was higher for women than for men in both disabled and non-disabled groups.</w:t>
      </w:r>
    </w:p>
    <w:p w14:paraId="1CD45D90" w14:textId="77777777" w:rsidR="00B1775E" w:rsidRPr="00BA612C" w:rsidRDefault="00B1775E" w:rsidP="002723EC"/>
    <w:p w14:paraId="0C887F6E" w14:textId="50E303EE" w:rsidR="00BE2AEC" w:rsidRPr="00BA612C" w:rsidRDefault="00BE2AEC" w:rsidP="002723EC">
      <w:pPr>
        <w:keepNext/>
        <w:rPr>
          <w:b/>
          <w:bCs/>
        </w:rPr>
      </w:pPr>
      <w:r w:rsidRPr="00BA612C">
        <w:rPr>
          <w:b/>
          <w:bCs/>
        </w:rPr>
        <w:t xml:space="preserve">Table </w:t>
      </w:r>
      <w:r w:rsidRPr="00BA612C">
        <w:rPr>
          <w:b/>
          <w:bCs/>
        </w:rPr>
        <w:fldChar w:fldCharType="begin"/>
      </w:r>
      <w:r w:rsidRPr="00BA612C">
        <w:rPr>
          <w:b/>
          <w:bCs/>
        </w:rPr>
        <w:instrText xml:space="preserve"> SEQ Table \* ARABIC </w:instrText>
      </w:r>
      <w:r w:rsidRPr="00BA612C">
        <w:rPr>
          <w:b/>
          <w:bCs/>
        </w:rPr>
        <w:fldChar w:fldCharType="separate"/>
      </w:r>
      <w:r w:rsidR="009A3178">
        <w:rPr>
          <w:b/>
          <w:bCs/>
          <w:noProof/>
        </w:rPr>
        <w:t>16</w:t>
      </w:r>
      <w:r w:rsidRPr="00BA612C">
        <w:rPr>
          <w:b/>
          <w:bCs/>
          <w:noProof/>
        </w:rPr>
        <w:fldChar w:fldCharType="end"/>
      </w:r>
      <w:r w:rsidRPr="00BA612C">
        <w:rPr>
          <w:b/>
          <w:bCs/>
        </w:rPr>
        <w:t>: Trends in tertiary education by disability (aged 30-34)</w:t>
      </w:r>
    </w:p>
    <w:p w14:paraId="6B8D573B" w14:textId="77777777" w:rsidR="00BE2AEC" w:rsidRPr="00BA612C" w:rsidRDefault="00BE2AEC" w:rsidP="002723EC">
      <w:r w:rsidRPr="00BA612C">
        <w:rPr>
          <w:noProof/>
          <w:lang w:val="nl-NL" w:eastAsia="nl-NL"/>
        </w:rPr>
        <w:drawing>
          <wp:inline distT="0" distB="0" distL="0" distR="0" wp14:anchorId="663CCDCE" wp14:editId="45B0417C">
            <wp:extent cx="5486400" cy="3980329"/>
            <wp:effectExtent l="0" t="0" r="19050" b="2032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8585C16" w14:textId="54A06922" w:rsidR="00BE2AEC" w:rsidRPr="00BA612C" w:rsidRDefault="00BE2AEC" w:rsidP="002723EC">
      <w:pPr>
        <w:rPr>
          <w:i/>
          <w:sz w:val="20"/>
          <w:lang w:eastAsia="en-GB"/>
        </w:rPr>
      </w:pPr>
      <w:r w:rsidRPr="00BA612C">
        <w:rPr>
          <w:i/>
          <w:sz w:val="20"/>
        </w:rPr>
        <w:t xml:space="preserve">Source: </w:t>
      </w:r>
      <w:r w:rsidRPr="00BA612C">
        <w:rPr>
          <w:i/>
          <w:sz w:val="20"/>
          <w:lang w:eastAsia="en-GB"/>
        </w:rPr>
        <w:t>EUSILC UDB 2014 – version 2 of August 2016 (and preceding UDBs)</w:t>
      </w:r>
    </w:p>
    <w:p w14:paraId="60D16FF6" w14:textId="0C0295C2" w:rsidR="00BE2AEC" w:rsidRPr="00BA612C" w:rsidRDefault="00BE2AEC" w:rsidP="002723EC">
      <w:pPr>
        <w:rPr>
          <w:i/>
          <w:sz w:val="20"/>
          <w:lang w:eastAsia="en-GB"/>
        </w:rPr>
      </w:pPr>
      <w:r w:rsidRPr="00BA612C">
        <w:rPr>
          <w:i/>
          <w:sz w:val="20"/>
          <w:lang w:eastAsia="en-GB"/>
        </w:rPr>
        <w:t>Fluctuations in trends for people with impairments should be treated with caution at the national level.</w:t>
      </w:r>
    </w:p>
    <w:p w14:paraId="60DDFFF0" w14:textId="77777777" w:rsidR="00B1775E" w:rsidRPr="00BA612C" w:rsidRDefault="00B1775E" w:rsidP="002723EC">
      <w:pPr>
        <w:rPr>
          <w:i/>
          <w:lang w:eastAsia="en-GB"/>
        </w:rPr>
      </w:pPr>
    </w:p>
    <w:p w14:paraId="5DC12481" w14:textId="77777777" w:rsidR="00BE2AEC" w:rsidRPr="00BA612C" w:rsidRDefault="00BE2AEC" w:rsidP="002723EC">
      <w:pPr>
        <w:rPr>
          <w:b/>
        </w:rPr>
      </w:pPr>
      <w:r w:rsidRPr="00BA612C">
        <w:rPr>
          <w:b/>
        </w:rPr>
        <w:t>Alternative data on disability and tertiary education provided by the national expert:</w:t>
      </w:r>
    </w:p>
    <w:p w14:paraId="2EA4539C" w14:textId="77777777" w:rsidR="00032FAA" w:rsidRPr="00BA612C" w:rsidRDefault="00032FAA" w:rsidP="002723EC">
      <w:pPr>
        <w:rPr>
          <w:rFonts w:eastAsia="Calibri"/>
        </w:rPr>
      </w:pPr>
    </w:p>
    <w:p w14:paraId="4567232F" w14:textId="6F9A6A33" w:rsidR="00A03ACA" w:rsidRPr="00BA612C" w:rsidRDefault="00A03ACA" w:rsidP="002723EC">
      <w:pPr>
        <w:rPr>
          <w:rFonts w:eastAsia="Calibri"/>
        </w:rPr>
      </w:pPr>
      <w:r w:rsidRPr="00BA612C">
        <w:rPr>
          <w:rFonts w:eastAsia="Calibri"/>
        </w:rPr>
        <w:t xml:space="preserve">As </w:t>
      </w:r>
      <w:r w:rsidR="00F72339" w:rsidRPr="00BA612C">
        <w:rPr>
          <w:rFonts w:eastAsia="Calibri"/>
        </w:rPr>
        <w:t xml:space="preserve">previously </w:t>
      </w:r>
      <w:r w:rsidRPr="00BA612C">
        <w:rPr>
          <w:rFonts w:eastAsia="Calibri"/>
        </w:rPr>
        <w:t>reported in 2012</w:t>
      </w:r>
      <w:r w:rsidR="00F72339" w:rsidRPr="00BA612C">
        <w:rPr>
          <w:rFonts w:eastAsia="Calibri"/>
        </w:rPr>
        <w:t>-2015</w:t>
      </w:r>
      <w:r w:rsidRPr="00BA612C">
        <w:rPr>
          <w:rFonts w:eastAsia="Calibri"/>
        </w:rPr>
        <w:t xml:space="preserve">, specific data on the education of persons with disabilities is scarcely available in Austria. This has not changed recently: persons with disabilities are not identified in </w:t>
      </w:r>
      <w:r w:rsidR="00654AE9" w:rsidRPr="00BA612C">
        <w:rPr>
          <w:rFonts w:eastAsia="Calibri"/>
        </w:rPr>
        <w:t>official statistics</w:t>
      </w:r>
      <w:r w:rsidRPr="00BA612C">
        <w:rPr>
          <w:rFonts w:eastAsia="Calibri"/>
        </w:rPr>
        <w:t xml:space="preserve"> on tertiary education. We can only refer to micro census data from 2007 according to which persons with disabilities have a significantly lower level of education than non-disabled people in Austria. 32% men and 46% of women with disabilities have only finished compulsory school compared to 12% men and 23% women without disabilities. 14.6% men and 15.7% women with disabilities hold a university degree compared to 31.4% men and 33.3%</w:t>
      </w:r>
      <w:r w:rsidR="00BA1846">
        <w:rPr>
          <w:rFonts w:eastAsia="Calibri"/>
        </w:rPr>
        <w:t xml:space="preserve"> women without disabilities</w:t>
      </w:r>
      <w:r w:rsidRPr="00BA612C">
        <w:rPr>
          <w:rFonts w:eastAsia="Calibri"/>
        </w:rPr>
        <w:t>.</w:t>
      </w:r>
      <w:r w:rsidRPr="00BA612C">
        <w:rPr>
          <w:rFonts w:eastAsia="Calibri"/>
          <w:vertAlign w:val="superscript"/>
        </w:rPr>
        <w:footnoteReference w:id="25"/>
      </w:r>
      <w:r w:rsidRPr="00BA612C">
        <w:rPr>
          <w:rFonts w:eastAsia="Calibri"/>
        </w:rPr>
        <w:t xml:space="preserve"> According to EU</w:t>
      </w:r>
      <w:r w:rsidR="00A21A13" w:rsidRPr="00BA612C">
        <w:rPr>
          <w:rFonts w:eastAsia="Calibri"/>
        </w:rPr>
        <w:t xml:space="preserve"> </w:t>
      </w:r>
      <w:r w:rsidRPr="00BA612C">
        <w:rPr>
          <w:rFonts w:eastAsia="Calibri"/>
        </w:rPr>
        <w:t>SILC Data from 2010, 14.4% of persons with disabilities between 30 and 40</w:t>
      </w:r>
      <w:r w:rsidR="002A3BEA" w:rsidRPr="00BA612C">
        <w:rPr>
          <w:rFonts w:eastAsia="Calibri"/>
        </w:rPr>
        <w:t xml:space="preserve"> </w:t>
      </w:r>
      <w:r w:rsidRPr="00BA612C">
        <w:rPr>
          <w:rFonts w:eastAsia="Calibri"/>
        </w:rPr>
        <w:t xml:space="preserve">years of age held a university degree compared to 26.5% of persons without disabilities. This is lower than the EU-average of 22.3% </w:t>
      </w:r>
      <w:r w:rsidR="00FF0C96" w:rsidRPr="00BA612C">
        <w:rPr>
          <w:rFonts w:eastAsia="Calibri"/>
        </w:rPr>
        <w:t>and</w:t>
      </w:r>
      <w:r w:rsidRPr="00BA612C">
        <w:rPr>
          <w:rFonts w:eastAsia="Calibri"/>
        </w:rPr>
        <w:t xml:space="preserve"> 34.4% for persons with disabilities (Grammenos 2013, 90).</w:t>
      </w:r>
      <w:r w:rsidRPr="00BA612C">
        <w:rPr>
          <w:rFonts w:eastAsia="Calibri"/>
          <w:vertAlign w:val="superscript"/>
        </w:rPr>
        <w:footnoteReference w:id="26"/>
      </w:r>
    </w:p>
    <w:p w14:paraId="3E367B1D" w14:textId="77777777" w:rsidR="00032FAA" w:rsidRPr="00BA612C" w:rsidRDefault="00032FAA" w:rsidP="002723EC">
      <w:pPr>
        <w:rPr>
          <w:rFonts w:eastAsia="Calibri"/>
        </w:rPr>
      </w:pPr>
    </w:p>
    <w:p w14:paraId="77FD482B" w14:textId="70B8C573" w:rsidR="000704E7" w:rsidRPr="00BA612C" w:rsidRDefault="000704E7" w:rsidP="002723EC">
      <w:r w:rsidRPr="00BA612C">
        <w:t>According to the Austrian student survey 2011 (Zaussinger et al. 2012</w:t>
      </w:r>
      <w:r w:rsidR="00940804" w:rsidRPr="00BA612C">
        <w:t>)</w:t>
      </w:r>
      <w:r w:rsidR="003E6273" w:rsidRPr="00BA612C">
        <w:rPr>
          <w:rStyle w:val="FootnoteReference"/>
        </w:rPr>
        <w:footnoteReference w:id="27"/>
      </w:r>
      <w:r w:rsidRPr="00BA612C">
        <w:t xml:space="preserve"> 12% of all students at Austrian universities (including colleges of teacher training) face hindrances in their stud</w:t>
      </w:r>
      <w:r w:rsidR="00FE2BBF" w:rsidRPr="00BA612C">
        <w:t>ies due to disability, chronic</w:t>
      </w:r>
      <w:r w:rsidRPr="00BA612C">
        <w:t xml:space="preserve"> illness or other health problems (women: 13%; men: 11%). This applies in total to about 36</w:t>
      </w:r>
      <w:r w:rsidR="00BA1846">
        <w:t>.</w:t>
      </w:r>
      <w:r w:rsidRPr="00BA612C">
        <w:t>500 students. 11% of all stude</w:t>
      </w:r>
      <w:r w:rsidR="00FE2BBF" w:rsidRPr="00BA612C">
        <w:t>nts with disabilities, chronic</w:t>
      </w:r>
      <w:r w:rsidRPr="00BA612C">
        <w:t xml:space="preserve"> illnesses or health problems are formally recognised as disabled (6% with a reduction of employability of 50% or more, 5% with a reduction of less than 50%). They represent 1</w:t>
      </w:r>
      <w:r w:rsidR="00FF0C96" w:rsidRPr="00BA612C">
        <w:t>.</w:t>
      </w:r>
      <w:r w:rsidRPr="00BA612C">
        <w:t>3% of all Austrian students (4</w:t>
      </w:r>
      <w:r w:rsidR="00BA1846">
        <w:t>.</w:t>
      </w:r>
      <w:r w:rsidRPr="00BA612C">
        <w:t>000 students). This share has slightly increased compared to the surveys 2009, 2006 and 2002</w:t>
      </w:r>
      <w:r w:rsidR="003253E0" w:rsidRPr="00BA612C">
        <w:t>. However, according to the most recent survey on students at Austrian university, this share did not change in 2015</w:t>
      </w:r>
      <w:r w:rsidRPr="00BA612C">
        <w:t>.</w:t>
      </w:r>
      <w:r w:rsidR="003253E0" w:rsidRPr="00BA612C">
        <w:rPr>
          <w:rStyle w:val="FootnoteReference"/>
        </w:rPr>
        <w:footnoteReference w:id="28"/>
      </w:r>
      <w:r w:rsidRPr="00BA612C">
        <w:t xml:space="preserve"> There is no data available on health status of graduates. </w:t>
      </w:r>
    </w:p>
    <w:p w14:paraId="4B1DDE9A" w14:textId="77777777" w:rsidR="00032FAA" w:rsidRPr="00BA612C" w:rsidRDefault="00032FAA" w:rsidP="002723EC"/>
    <w:p w14:paraId="34A599B5" w14:textId="5C228D5D" w:rsidR="00EB54C7" w:rsidRPr="00BA612C" w:rsidRDefault="005C65DC" w:rsidP="002723EC">
      <w:pPr>
        <w:pStyle w:val="Heading2"/>
        <w:rPr>
          <w:szCs w:val="24"/>
        </w:rPr>
      </w:pPr>
      <w:bookmarkStart w:id="21" w:name="_Toc429999641"/>
      <w:bookmarkStart w:id="22" w:name="_Toc483400175"/>
      <w:r w:rsidRPr="00BA612C">
        <w:rPr>
          <w:szCs w:val="24"/>
        </w:rPr>
        <w:t>Poverty</w:t>
      </w:r>
      <w:r w:rsidR="00D939BF" w:rsidRPr="00BA612C">
        <w:rPr>
          <w:szCs w:val="24"/>
        </w:rPr>
        <w:t xml:space="preserve"> and social exclusion data</w:t>
      </w:r>
      <w:bookmarkEnd w:id="21"/>
      <w:bookmarkEnd w:id="22"/>
    </w:p>
    <w:p w14:paraId="53F19655" w14:textId="77777777" w:rsidR="00032FAA" w:rsidRPr="00BA612C" w:rsidRDefault="00032FAA" w:rsidP="002723EC">
      <w:pPr>
        <w:pStyle w:val="BodyText"/>
        <w:spacing w:after="0"/>
      </w:pPr>
    </w:p>
    <w:p w14:paraId="7971E3F3" w14:textId="54AFD6B3" w:rsidR="00BE2AEC" w:rsidRPr="00BA612C" w:rsidRDefault="00BE2AEC" w:rsidP="002723EC">
      <w:r w:rsidRPr="00BA612C">
        <w:t>EU SILC data provides indicators of the key risks for people with disabilities. In addition to household risks of low work intensity, there are risks of low income (after social transfers), and material deprivation. These three measures are combined in the overall estimate of risk. The risks for older people do not include work intensity (Eurostat refers to the age group 0-59 for this measure). The survey does not distinguish ‘activity limitation’ (the proxy for impairment/disability) for children under the age of 16. Relevant data provided by the national expert is added where available.</w:t>
      </w:r>
    </w:p>
    <w:p w14:paraId="7EC142E7" w14:textId="302195D0" w:rsidR="00BF021F" w:rsidRPr="00BA612C" w:rsidRDefault="00BF021F" w:rsidP="00BF021F">
      <w:pPr>
        <w:spacing w:after="200" w:line="276" w:lineRule="auto"/>
      </w:pPr>
      <w:r w:rsidRPr="00BA612C">
        <w:br w:type="page"/>
      </w:r>
    </w:p>
    <w:p w14:paraId="2142E89A" w14:textId="23ADB2A6" w:rsidR="00BE2AEC" w:rsidRPr="00BA612C" w:rsidRDefault="00BE2AEC" w:rsidP="002723EC">
      <w:pPr>
        <w:rPr>
          <w:b/>
          <w:bCs/>
        </w:rPr>
      </w:pPr>
      <w:r w:rsidRPr="00BA612C">
        <w:rPr>
          <w:b/>
          <w:bCs/>
        </w:rPr>
        <w:t xml:space="preserve">Table </w:t>
      </w:r>
      <w:r w:rsidRPr="00BA612C">
        <w:rPr>
          <w:b/>
          <w:bCs/>
        </w:rPr>
        <w:fldChar w:fldCharType="begin"/>
      </w:r>
      <w:r w:rsidRPr="00BA612C">
        <w:rPr>
          <w:b/>
          <w:bCs/>
        </w:rPr>
        <w:instrText xml:space="preserve"> SEQ Table \* ARABIC </w:instrText>
      </w:r>
      <w:r w:rsidRPr="00BA612C">
        <w:rPr>
          <w:b/>
          <w:bCs/>
        </w:rPr>
        <w:fldChar w:fldCharType="separate"/>
      </w:r>
      <w:r w:rsidR="009A3178">
        <w:rPr>
          <w:b/>
          <w:bCs/>
          <w:noProof/>
        </w:rPr>
        <w:t>17</w:t>
      </w:r>
      <w:r w:rsidRPr="00BA612C">
        <w:rPr>
          <w:b/>
          <w:bCs/>
          <w:noProof/>
        </w:rPr>
        <w:fldChar w:fldCharType="end"/>
      </w:r>
      <w:r w:rsidRPr="00BA612C">
        <w:rPr>
          <w:b/>
          <w:bCs/>
        </w:rPr>
        <w:t>: People living in household poverty and exclusion by disability and risk (aged 16-59)</w:t>
      </w:r>
    </w:p>
    <w:p w14:paraId="1EE21139" w14:textId="77777777" w:rsidR="00BE2AEC" w:rsidRPr="00BA612C" w:rsidRDefault="00BE2AEC" w:rsidP="002723EC">
      <w:r w:rsidRPr="00BA612C">
        <w:rPr>
          <w:noProof/>
          <w:lang w:val="nl-NL" w:eastAsia="nl-NL"/>
        </w:rPr>
        <w:drawing>
          <wp:inline distT="0" distB="0" distL="0" distR="0" wp14:anchorId="73F1C59D" wp14:editId="1D371A1D">
            <wp:extent cx="5486400" cy="2590800"/>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1BB70CD" w14:textId="49A9C185" w:rsidR="00BE2AEC" w:rsidRPr="00BA612C" w:rsidRDefault="00BE2AEC" w:rsidP="002723EC">
      <w:pPr>
        <w:rPr>
          <w:i/>
          <w:sz w:val="20"/>
          <w:lang w:eastAsia="en-GB"/>
        </w:rPr>
      </w:pPr>
      <w:r w:rsidRPr="00BA612C">
        <w:rPr>
          <w:i/>
          <w:sz w:val="20"/>
        </w:rPr>
        <w:t xml:space="preserve">Source: </w:t>
      </w:r>
      <w:r w:rsidRPr="00BA612C">
        <w:rPr>
          <w:i/>
          <w:sz w:val="20"/>
          <w:lang w:eastAsia="en-GB"/>
        </w:rPr>
        <w:t>EUSILC UDB 2014 – version 2 of August 2016</w:t>
      </w:r>
    </w:p>
    <w:p w14:paraId="1071ED53" w14:textId="77777777" w:rsidR="00BF021F" w:rsidRPr="00BA1846" w:rsidRDefault="00BF021F" w:rsidP="002723EC">
      <w:pPr>
        <w:rPr>
          <w:sz w:val="20"/>
          <w:lang w:eastAsia="en-GB"/>
        </w:rPr>
      </w:pPr>
    </w:p>
    <w:p w14:paraId="6EE3520B" w14:textId="6050B23D" w:rsidR="00BE2AEC" w:rsidRPr="00BA612C" w:rsidRDefault="00BE2AEC" w:rsidP="002723EC">
      <w:pPr>
        <w:rPr>
          <w:b/>
          <w:bCs/>
        </w:rPr>
      </w:pPr>
      <w:r w:rsidRPr="00BA612C">
        <w:rPr>
          <w:b/>
          <w:bCs/>
        </w:rPr>
        <w:t xml:space="preserve">Table </w:t>
      </w:r>
      <w:r w:rsidRPr="00BA612C">
        <w:rPr>
          <w:b/>
          <w:bCs/>
        </w:rPr>
        <w:fldChar w:fldCharType="begin"/>
      </w:r>
      <w:r w:rsidRPr="00BA612C">
        <w:rPr>
          <w:b/>
          <w:bCs/>
        </w:rPr>
        <w:instrText xml:space="preserve"> SEQ Table \* ARABIC </w:instrText>
      </w:r>
      <w:r w:rsidRPr="00BA612C">
        <w:rPr>
          <w:b/>
          <w:bCs/>
        </w:rPr>
        <w:fldChar w:fldCharType="separate"/>
      </w:r>
      <w:r w:rsidR="009A3178">
        <w:rPr>
          <w:b/>
          <w:bCs/>
          <w:noProof/>
        </w:rPr>
        <w:t>18</w:t>
      </w:r>
      <w:r w:rsidRPr="00BA612C">
        <w:rPr>
          <w:b/>
          <w:bCs/>
          <w:noProof/>
        </w:rPr>
        <w:fldChar w:fldCharType="end"/>
      </w:r>
      <w:r w:rsidRPr="00BA612C">
        <w:rPr>
          <w:b/>
          <w:bCs/>
        </w:rPr>
        <w:t>: People living in household poverty and exclusion by disability and gender (aged 16+)</w:t>
      </w:r>
    </w:p>
    <w:p w14:paraId="21CF6D94" w14:textId="77777777" w:rsidR="00BE2AEC" w:rsidRPr="00BA612C" w:rsidRDefault="00BE2AEC" w:rsidP="002723EC">
      <w:r w:rsidRPr="00BA612C">
        <w:rPr>
          <w:noProof/>
          <w:lang w:val="nl-NL" w:eastAsia="nl-NL"/>
        </w:rPr>
        <w:drawing>
          <wp:inline distT="0" distB="0" distL="0" distR="0" wp14:anchorId="65F18A99" wp14:editId="7E5EF508">
            <wp:extent cx="5581934" cy="2361062"/>
            <wp:effectExtent l="0" t="0" r="0" b="127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DAB8ABA" w14:textId="77777777" w:rsidR="00BE2AEC" w:rsidRPr="00BA612C" w:rsidRDefault="00BE2AEC" w:rsidP="002723EC">
      <w:pPr>
        <w:rPr>
          <w:i/>
          <w:sz w:val="20"/>
          <w:lang w:eastAsia="en-GB"/>
        </w:rPr>
      </w:pPr>
      <w:r w:rsidRPr="00BA612C">
        <w:rPr>
          <w:i/>
          <w:sz w:val="20"/>
        </w:rPr>
        <w:t xml:space="preserve">Source: </w:t>
      </w:r>
      <w:r w:rsidRPr="00BA612C">
        <w:rPr>
          <w:i/>
          <w:sz w:val="20"/>
          <w:lang w:eastAsia="en-GB"/>
        </w:rPr>
        <w:t>EUSILC UDB 2014 – version 2 of August 2016</w:t>
      </w:r>
    </w:p>
    <w:p w14:paraId="28F5D1BF" w14:textId="77777777" w:rsidR="00BE2AEC" w:rsidRPr="00BA612C" w:rsidRDefault="00BE2AEC" w:rsidP="002723EC">
      <w:pPr>
        <w:rPr>
          <w:sz w:val="20"/>
        </w:rPr>
      </w:pPr>
    </w:p>
    <w:p w14:paraId="797C4D7F" w14:textId="77777777" w:rsidR="00BE2AEC" w:rsidRPr="00BA612C" w:rsidRDefault="00BE2AEC" w:rsidP="002723EC">
      <w:pPr>
        <w:rPr>
          <w:b/>
          <w:bCs/>
        </w:rPr>
      </w:pPr>
      <w:r w:rsidRPr="00BA612C">
        <w:br w:type="page"/>
      </w:r>
    </w:p>
    <w:p w14:paraId="30B5FB6C" w14:textId="4C908BBF" w:rsidR="00BE2AEC" w:rsidRPr="00BA612C" w:rsidRDefault="00BE2AEC" w:rsidP="002723EC">
      <w:pPr>
        <w:rPr>
          <w:b/>
          <w:bCs/>
        </w:rPr>
      </w:pPr>
      <w:r w:rsidRPr="00BA612C">
        <w:rPr>
          <w:b/>
          <w:bCs/>
        </w:rPr>
        <w:t xml:space="preserve">Table </w:t>
      </w:r>
      <w:r w:rsidRPr="00BA612C">
        <w:rPr>
          <w:b/>
          <w:bCs/>
        </w:rPr>
        <w:fldChar w:fldCharType="begin"/>
      </w:r>
      <w:r w:rsidRPr="00BA612C">
        <w:rPr>
          <w:b/>
          <w:bCs/>
        </w:rPr>
        <w:instrText xml:space="preserve"> SEQ Table \* ARABIC </w:instrText>
      </w:r>
      <w:r w:rsidRPr="00BA612C">
        <w:rPr>
          <w:b/>
          <w:bCs/>
        </w:rPr>
        <w:fldChar w:fldCharType="separate"/>
      </w:r>
      <w:r w:rsidR="009A3178">
        <w:rPr>
          <w:b/>
          <w:bCs/>
          <w:noProof/>
        </w:rPr>
        <w:t>19</w:t>
      </w:r>
      <w:r w:rsidRPr="00BA612C">
        <w:rPr>
          <w:b/>
          <w:bCs/>
          <w:noProof/>
        </w:rPr>
        <w:fldChar w:fldCharType="end"/>
      </w:r>
      <w:r w:rsidRPr="00BA612C">
        <w:rPr>
          <w:b/>
          <w:bCs/>
        </w:rPr>
        <w:t>: Overall risk of household poverty or exclusion by disability and age (aged 16+)</w:t>
      </w:r>
    </w:p>
    <w:p w14:paraId="507B227E" w14:textId="77777777" w:rsidR="00BE2AEC" w:rsidRPr="00BA612C" w:rsidRDefault="00BE2AEC" w:rsidP="002723EC">
      <w:r w:rsidRPr="00BA612C">
        <w:rPr>
          <w:noProof/>
          <w:lang w:val="nl-NL" w:eastAsia="nl-NL"/>
        </w:rPr>
        <w:drawing>
          <wp:inline distT="0" distB="0" distL="0" distR="0" wp14:anchorId="1BEB31DD" wp14:editId="28E4ABCD">
            <wp:extent cx="5486400" cy="2590800"/>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EE727D3" w14:textId="6B91693E" w:rsidR="00BE2AEC" w:rsidRPr="00BA612C" w:rsidRDefault="00BE2AEC" w:rsidP="002723EC">
      <w:pPr>
        <w:rPr>
          <w:i/>
          <w:lang w:eastAsia="en-GB"/>
        </w:rPr>
      </w:pPr>
      <w:r w:rsidRPr="00BA612C">
        <w:rPr>
          <w:i/>
          <w:sz w:val="20"/>
        </w:rPr>
        <w:t xml:space="preserve">Source: </w:t>
      </w:r>
      <w:r w:rsidRPr="00BA612C">
        <w:rPr>
          <w:i/>
          <w:sz w:val="20"/>
          <w:lang w:eastAsia="en-GB"/>
        </w:rPr>
        <w:t>EUSILC UDB 2014 – version 2 of August 2016</w:t>
      </w:r>
    </w:p>
    <w:p w14:paraId="447F6ADB" w14:textId="77777777" w:rsidR="00BF021F" w:rsidRPr="00BA1846" w:rsidRDefault="00BF021F" w:rsidP="002723EC">
      <w:pPr>
        <w:rPr>
          <w:lang w:eastAsia="en-GB"/>
        </w:rPr>
      </w:pPr>
    </w:p>
    <w:p w14:paraId="24EF7A48" w14:textId="752FB42D" w:rsidR="00BE2AEC" w:rsidRPr="00BA612C" w:rsidRDefault="00BE2AEC" w:rsidP="002723EC">
      <w:pPr>
        <w:rPr>
          <w:b/>
          <w:bCs/>
        </w:rPr>
      </w:pPr>
      <w:r w:rsidRPr="00BA612C">
        <w:rPr>
          <w:b/>
          <w:bCs/>
        </w:rPr>
        <w:t xml:space="preserve">Table </w:t>
      </w:r>
      <w:r w:rsidRPr="00BA612C">
        <w:rPr>
          <w:b/>
          <w:bCs/>
        </w:rPr>
        <w:fldChar w:fldCharType="begin"/>
      </w:r>
      <w:r w:rsidRPr="00BA612C">
        <w:rPr>
          <w:b/>
          <w:bCs/>
        </w:rPr>
        <w:instrText xml:space="preserve"> SEQ Table \* ARABIC </w:instrText>
      </w:r>
      <w:r w:rsidRPr="00BA612C">
        <w:rPr>
          <w:b/>
          <w:bCs/>
        </w:rPr>
        <w:fldChar w:fldCharType="separate"/>
      </w:r>
      <w:r w:rsidR="009A3178">
        <w:rPr>
          <w:b/>
          <w:bCs/>
          <w:noProof/>
        </w:rPr>
        <w:t>20</w:t>
      </w:r>
      <w:r w:rsidRPr="00BA612C">
        <w:rPr>
          <w:b/>
          <w:bCs/>
          <w:noProof/>
        </w:rPr>
        <w:fldChar w:fldCharType="end"/>
      </w:r>
      <w:r w:rsidRPr="00BA612C">
        <w:rPr>
          <w:b/>
          <w:bCs/>
        </w:rPr>
        <w:t>: Trends in household risk of poverty and exclusion by disability and age (EU-SILC 2014)</w:t>
      </w:r>
    </w:p>
    <w:p w14:paraId="1232F194" w14:textId="77777777" w:rsidR="00BE2AEC" w:rsidRPr="00BA612C" w:rsidRDefault="00BE2AEC" w:rsidP="002723EC">
      <w:r w:rsidRPr="00BA612C">
        <w:rPr>
          <w:noProof/>
          <w:lang w:val="nl-NL" w:eastAsia="nl-NL"/>
        </w:rPr>
        <w:drawing>
          <wp:inline distT="0" distB="0" distL="0" distR="0" wp14:anchorId="679F9A02" wp14:editId="70E423F4">
            <wp:extent cx="5486400" cy="4043083"/>
            <wp:effectExtent l="0" t="0" r="19050" b="1460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76A70F0" w14:textId="77777777" w:rsidR="00BE2AEC" w:rsidRPr="00BA612C" w:rsidRDefault="00BE2AEC" w:rsidP="002723EC">
      <w:pPr>
        <w:rPr>
          <w:i/>
          <w:sz w:val="20"/>
          <w:lang w:eastAsia="en-GB"/>
        </w:rPr>
      </w:pPr>
      <w:r w:rsidRPr="00BA612C">
        <w:rPr>
          <w:i/>
          <w:sz w:val="20"/>
        </w:rPr>
        <w:t xml:space="preserve">Source: </w:t>
      </w:r>
      <w:r w:rsidRPr="00BA612C">
        <w:rPr>
          <w:i/>
          <w:sz w:val="20"/>
          <w:lang w:eastAsia="en-GB"/>
        </w:rPr>
        <w:t>EUSILC UDB 2014 – version 2 of August 2016 (and previous UDB)</w:t>
      </w:r>
    </w:p>
    <w:p w14:paraId="597B8D8A" w14:textId="622128B0" w:rsidR="00BE2AEC" w:rsidRPr="00BA612C" w:rsidRDefault="00BE2AEC" w:rsidP="002723EC">
      <w:pPr>
        <w:rPr>
          <w:i/>
          <w:sz w:val="20"/>
          <w:lang w:eastAsia="en-GB"/>
        </w:rPr>
      </w:pPr>
      <w:r w:rsidRPr="00BA612C">
        <w:rPr>
          <w:i/>
          <w:sz w:val="20"/>
          <w:lang w:eastAsia="en-GB"/>
        </w:rPr>
        <w:t>Note that the Austrian prevalence data may slightly underestimate the number of older people with impairments (Table 1)</w:t>
      </w:r>
    </w:p>
    <w:p w14:paraId="2D22CDD7" w14:textId="77777777" w:rsidR="00BF021F" w:rsidRPr="008D759A" w:rsidRDefault="00BF021F" w:rsidP="002723EC">
      <w:pPr>
        <w:rPr>
          <w:i/>
          <w:sz w:val="20"/>
          <w:lang w:eastAsia="en-GB"/>
        </w:rPr>
      </w:pPr>
    </w:p>
    <w:p w14:paraId="1F3F38A4" w14:textId="7DE226EA" w:rsidR="00755A21" w:rsidRPr="00BA612C" w:rsidRDefault="0010423F" w:rsidP="002723EC">
      <w:pPr>
        <w:pStyle w:val="Un-numberedsubheading"/>
        <w:spacing w:after="0"/>
      </w:pPr>
      <w:r w:rsidRPr="00BA612C">
        <w:t xml:space="preserve">Alternative </w:t>
      </w:r>
      <w:r w:rsidR="00CC6322" w:rsidRPr="00BA612C">
        <w:t xml:space="preserve">data on disability and </w:t>
      </w:r>
      <w:r w:rsidR="007360E6" w:rsidRPr="00BA612C">
        <w:t>risk</w:t>
      </w:r>
      <w:r w:rsidR="00803568" w:rsidRPr="00BA612C">
        <w:t xml:space="preserve"> of poverty or social exclusion</w:t>
      </w:r>
      <w:r w:rsidR="007360E6" w:rsidRPr="00BA612C">
        <w:t xml:space="preserve"> </w:t>
      </w:r>
      <w:r w:rsidR="00803568" w:rsidRPr="00BA612C">
        <w:t>provided by the national expert</w:t>
      </w:r>
      <w:r w:rsidRPr="00BA612C">
        <w:t>:</w:t>
      </w:r>
    </w:p>
    <w:p w14:paraId="5CCD6981" w14:textId="77777777" w:rsidR="007C5A60" w:rsidRPr="00BA612C" w:rsidRDefault="007C5A60" w:rsidP="002723EC">
      <w:pPr>
        <w:pStyle w:val="Un-numberedsubheading"/>
        <w:spacing w:after="0"/>
      </w:pPr>
    </w:p>
    <w:p w14:paraId="48789837" w14:textId="4E9713F9" w:rsidR="005251B8" w:rsidRPr="00BA612C" w:rsidRDefault="007D0F25" w:rsidP="002723EC">
      <w:r w:rsidRPr="00BA612C">
        <w:t>Table 4.3a</w:t>
      </w:r>
      <w:r w:rsidR="00371F45" w:rsidRPr="00BA612C">
        <w:t xml:space="preserve"> in the Austrian document on EU </w:t>
      </w:r>
      <w:r w:rsidR="007C5A60" w:rsidRPr="00BA612C">
        <w:t>SILC 201</w:t>
      </w:r>
      <w:r w:rsidR="00262470" w:rsidRPr="00BA612C">
        <w:t>5</w:t>
      </w:r>
      <w:r w:rsidR="007C5A60" w:rsidRPr="00BA612C">
        <w:rPr>
          <w:rStyle w:val="FootnoteReference"/>
        </w:rPr>
        <w:footnoteReference w:id="29"/>
      </w:r>
      <w:r w:rsidR="009D14A0" w:rsidRPr="00BA612C">
        <w:t xml:space="preserve"> </w:t>
      </w:r>
      <w:r w:rsidR="007C5A60" w:rsidRPr="00BA612C">
        <w:t xml:space="preserve">- shows </w:t>
      </w:r>
      <w:r w:rsidR="009D14A0" w:rsidRPr="00BA612C">
        <w:t>3</w:t>
      </w:r>
      <w:r w:rsidR="00196BE6" w:rsidRPr="00BA612C">
        <w:t>38</w:t>
      </w:r>
      <w:r w:rsidR="00BA1846">
        <w:t>.</w:t>
      </w:r>
      <w:r w:rsidR="007C5A60" w:rsidRPr="00BA612C">
        <w:t>000 persons (</w:t>
      </w:r>
      <w:r w:rsidR="00196BE6" w:rsidRPr="00BA612C">
        <w:t>6</w:t>
      </w:r>
      <w:r w:rsidR="007C5A60" w:rsidRPr="00BA612C">
        <w:t>% of the overal</w:t>
      </w:r>
      <w:r w:rsidR="009F3C5E" w:rsidRPr="00BA612C">
        <w:t>l p</w:t>
      </w:r>
      <w:r w:rsidR="00BA1846">
        <w:t>opulation of 5.</w:t>
      </w:r>
      <w:r w:rsidR="00196BE6" w:rsidRPr="00BA612C">
        <w:t>213</w:t>
      </w:r>
      <w:r w:rsidR="00BA1846">
        <w:t>.</w:t>
      </w:r>
      <w:r w:rsidR="007C5A60" w:rsidRPr="00BA612C">
        <w:t xml:space="preserve">000 persons) in the category of ‘severely impaired by disability’ (stark beeinträchtigt durch Behinderung). </w:t>
      </w:r>
    </w:p>
    <w:p w14:paraId="33187E58" w14:textId="77777777" w:rsidR="00E74333" w:rsidRPr="00BA612C" w:rsidRDefault="00E74333" w:rsidP="002723EC"/>
    <w:p w14:paraId="0072232B" w14:textId="41E74627" w:rsidR="00B6258B" w:rsidRPr="00BA612C" w:rsidRDefault="00B6258B" w:rsidP="002723EC">
      <w:r w:rsidRPr="00BA612C">
        <w:t xml:space="preserve">Table 5.6b in </w:t>
      </w:r>
      <w:r w:rsidR="004B2BA5" w:rsidRPr="00BA612C">
        <w:t>the Austrian document on EU</w:t>
      </w:r>
      <w:r w:rsidR="00371F45" w:rsidRPr="00BA612C">
        <w:t xml:space="preserve"> </w:t>
      </w:r>
      <w:r w:rsidR="004B2BA5" w:rsidRPr="00BA612C">
        <w:t>SILC 201</w:t>
      </w:r>
      <w:r w:rsidR="004453EE" w:rsidRPr="00BA612C">
        <w:t>5</w:t>
      </w:r>
      <w:r w:rsidR="004A6526" w:rsidRPr="00BA612C">
        <w:rPr>
          <w:rStyle w:val="FootnoteReference"/>
        </w:rPr>
        <w:footnoteReference w:id="30"/>
      </w:r>
      <w:r w:rsidR="004B2BA5" w:rsidRPr="00BA612C">
        <w:t xml:space="preserve"> </w:t>
      </w:r>
      <w:r w:rsidRPr="00BA612C">
        <w:t>refers to persistent risk of poverty by living conditions</w:t>
      </w:r>
      <w:r w:rsidR="00805DB2" w:rsidRPr="00BA612C">
        <w:t xml:space="preserve">, showing that persons ‘severely impaired by disability’ (stark beeinträchtigt durch Behinderung) </w:t>
      </w:r>
      <w:r w:rsidR="00010432" w:rsidRPr="00BA612C">
        <w:t>comprise a group of 6</w:t>
      </w:r>
      <w:r w:rsidR="00006E1F" w:rsidRPr="00BA612C">
        <w:t>28</w:t>
      </w:r>
      <w:r w:rsidR="00BA1846">
        <w:t>.</w:t>
      </w:r>
      <w:r w:rsidR="00010432" w:rsidRPr="00BA612C">
        <w:t>000 persons</w:t>
      </w:r>
      <w:r w:rsidR="00EA5B14" w:rsidRPr="00BA612C">
        <w:t xml:space="preserve"> (with a temporary risk of poverty, lasting at least for 1 year, with a group of </w:t>
      </w:r>
      <w:r w:rsidR="00A70CE9" w:rsidRPr="00BA612C">
        <w:t>88</w:t>
      </w:r>
      <w:r w:rsidR="00BA1846">
        <w:t>.</w:t>
      </w:r>
      <w:r w:rsidR="00EA5B14" w:rsidRPr="00BA612C">
        <w:t>000 persons)</w:t>
      </w:r>
      <w:r w:rsidR="00010432" w:rsidRPr="00BA612C">
        <w:t xml:space="preserve">. In addition, persons who are chronically ill (chronisch krank) and hence, might also be affected by disability related </w:t>
      </w:r>
      <w:r w:rsidR="000012E9" w:rsidRPr="00BA612C">
        <w:t>barriers, are a much larger group, comprising 2</w:t>
      </w:r>
      <w:r w:rsidR="00BA1846">
        <w:t>.</w:t>
      </w:r>
      <w:r w:rsidR="00245E39" w:rsidRPr="00BA612C">
        <w:t>450</w:t>
      </w:r>
      <w:r w:rsidR="00BA1846">
        <w:t>.</w:t>
      </w:r>
      <w:r w:rsidR="000012E9" w:rsidRPr="00BA612C">
        <w:t>000 persons</w:t>
      </w:r>
      <w:r w:rsidR="003D0177" w:rsidRPr="00BA612C">
        <w:t xml:space="preserve"> (with a temporary risk of poverty, lasting at least for 1 year, with a group of 3</w:t>
      </w:r>
      <w:r w:rsidR="005305F5" w:rsidRPr="00BA612C">
        <w:t>70</w:t>
      </w:r>
      <w:r w:rsidR="00BA1846">
        <w:t>.</w:t>
      </w:r>
      <w:r w:rsidR="003D0177" w:rsidRPr="00BA612C">
        <w:t>000 persons)</w:t>
      </w:r>
      <w:r w:rsidR="000012E9" w:rsidRPr="00BA612C">
        <w:t xml:space="preserve">. </w:t>
      </w:r>
    </w:p>
    <w:p w14:paraId="7FA4A308" w14:textId="77777777" w:rsidR="00B6258B" w:rsidRPr="00BA612C" w:rsidRDefault="00B6258B" w:rsidP="002723EC"/>
    <w:p w14:paraId="3914193E" w14:textId="59290359" w:rsidR="005E366A" w:rsidRPr="00BA612C" w:rsidRDefault="005E366A" w:rsidP="002723EC">
      <w:r w:rsidRPr="00BA612C">
        <w:t>Table 8.2</w:t>
      </w:r>
      <w:r w:rsidR="0060234E" w:rsidRPr="00BA612C">
        <w:t>0</w:t>
      </w:r>
      <w:r w:rsidRPr="00BA612C">
        <w:t xml:space="preserve"> in the Austrian document on EU-SILC 201</w:t>
      </w:r>
      <w:r w:rsidR="001D07E0" w:rsidRPr="00BA612C">
        <w:t>5</w:t>
      </w:r>
      <w:r w:rsidRPr="00BA612C">
        <w:rPr>
          <w:rStyle w:val="FootnoteReference"/>
        </w:rPr>
        <w:footnoteReference w:id="31"/>
      </w:r>
      <w:r w:rsidRPr="00BA612C">
        <w:t xml:space="preserve"> refers to</w:t>
      </w:r>
      <w:r w:rsidR="00651F3A" w:rsidRPr="00BA612C">
        <w:t xml:space="preserve"> Risk-of-poverty-and-social-exclusion for children and adolescents up to 24 years. </w:t>
      </w:r>
      <w:r w:rsidR="0067558D" w:rsidRPr="00BA612C">
        <w:t>In so called househ</w:t>
      </w:r>
      <w:r w:rsidR="0081525F" w:rsidRPr="00BA612C">
        <w:t xml:space="preserve">olds at risk with disability (Risikohaushalte mit Behinderung), </w:t>
      </w:r>
      <w:r w:rsidR="00F42CF1" w:rsidRPr="00BA612C">
        <w:t>203</w:t>
      </w:r>
      <w:r w:rsidR="00BA1846">
        <w:t>.</w:t>
      </w:r>
      <w:r w:rsidR="001D1CE2" w:rsidRPr="00BA612C">
        <w:t>000 per</w:t>
      </w:r>
      <w:r w:rsidR="00BA1846">
        <w:t>sons are at risk of poverty, 22.</w:t>
      </w:r>
      <w:r w:rsidR="001D1CE2" w:rsidRPr="00BA612C">
        <w:t xml:space="preserve">000 persons out of this group are </w:t>
      </w:r>
      <w:r w:rsidR="00751300" w:rsidRPr="00BA612C">
        <w:t>affected by severe materia</w:t>
      </w:r>
      <w:r w:rsidR="007420D5" w:rsidRPr="00BA612C">
        <w:t xml:space="preserve">l deprivation </w:t>
      </w:r>
      <w:r w:rsidR="001D1CE2" w:rsidRPr="00BA612C">
        <w:t xml:space="preserve">(erheblich materiell depriviert). </w:t>
      </w:r>
      <w:r w:rsidR="0034383C" w:rsidRPr="00BA612C">
        <w:t>As Table 10.2a</w:t>
      </w:r>
      <w:r w:rsidR="00A94C37" w:rsidRPr="00BA612C">
        <w:rPr>
          <w:rStyle w:val="FootnoteReference"/>
        </w:rPr>
        <w:footnoteReference w:id="32"/>
      </w:r>
      <w:r w:rsidR="0034383C" w:rsidRPr="00BA612C">
        <w:t xml:space="preserve"> </w:t>
      </w:r>
      <w:r w:rsidR="00752E87" w:rsidRPr="00BA612C">
        <w:t xml:space="preserve">and Table 10.4 </w:t>
      </w:r>
      <w:r w:rsidR="0034383C" w:rsidRPr="00BA612C">
        <w:t xml:space="preserve">shows in sum, </w:t>
      </w:r>
      <w:r w:rsidR="009D0263" w:rsidRPr="00BA612C">
        <w:t>804</w:t>
      </w:r>
      <w:r w:rsidR="00BA1846">
        <w:t>.</w:t>
      </w:r>
      <w:r w:rsidR="0034383C" w:rsidRPr="00BA612C">
        <w:t>000 persons live in households with disabil</w:t>
      </w:r>
      <w:r w:rsidR="00975906" w:rsidRPr="00BA612C">
        <w:t xml:space="preserve">ity (Haushalte mit Behinderung), </w:t>
      </w:r>
      <w:r w:rsidR="00005212" w:rsidRPr="00BA612C">
        <w:t>99</w:t>
      </w:r>
      <w:r w:rsidR="00BA1846">
        <w:t>.</w:t>
      </w:r>
      <w:r w:rsidR="00975906" w:rsidRPr="00BA612C">
        <w:t xml:space="preserve">000 of these persons living in manifest poverty (manifeste Armut). </w:t>
      </w:r>
      <w:r w:rsidR="0034383C" w:rsidRPr="00BA612C">
        <w:t xml:space="preserve"> </w:t>
      </w:r>
    </w:p>
    <w:p w14:paraId="5319389D" w14:textId="77777777" w:rsidR="005E366A" w:rsidRPr="00BA612C" w:rsidRDefault="005E366A" w:rsidP="002723EC"/>
    <w:p w14:paraId="78819ED4" w14:textId="6F800A14" w:rsidR="00F938A0" w:rsidRPr="00BA612C" w:rsidDel="007B3A01" w:rsidRDefault="00144B50" w:rsidP="002723EC">
      <w:pPr>
        <w:rPr>
          <w:lang w:eastAsia="en-GB"/>
        </w:rPr>
      </w:pPr>
      <w:r w:rsidRPr="00BA612C">
        <w:t xml:space="preserve">Regarding social exclusion, it has to be mentioned that </w:t>
      </w:r>
      <w:r w:rsidR="00A540B1" w:rsidRPr="00BA612C">
        <w:t>at least 13.000 persons wit</w:t>
      </w:r>
      <w:r w:rsidRPr="00BA612C">
        <w:t>h disabilities live in smaller and larger institutions</w:t>
      </w:r>
      <w:r w:rsidR="00642C9A" w:rsidRPr="00BA612C">
        <w:t>.</w:t>
      </w:r>
      <w:r w:rsidR="00BE6D4D" w:rsidRPr="00BA612C">
        <w:rPr>
          <w:rStyle w:val="FootnoteReference"/>
        </w:rPr>
        <w:footnoteReference w:id="33"/>
      </w:r>
      <w:r w:rsidRPr="00BA612C">
        <w:t xml:space="preserve"> </w:t>
      </w:r>
      <w:r w:rsidR="00F938A0" w:rsidRPr="00BA612C">
        <w:rPr>
          <w:lang w:eastAsia="en-GB"/>
        </w:rPr>
        <w:t>In our 2014</w:t>
      </w:r>
      <w:r w:rsidR="007B690D" w:rsidRPr="00BA612C">
        <w:rPr>
          <w:lang w:eastAsia="en-GB"/>
        </w:rPr>
        <w:t xml:space="preserve"> and again in our 2015</w:t>
      </w:r>
      <w:r w:rsidR="00F938A0" w:rsidRPr="00BA612C">
        <w:rPr>
          <w:lang w:eastAsia="en-GB"/>
        </w:rPr>
        <w:t xml:space="preserve"> report we strongly recommended initiatives and efforts for de-institutionalisation and independent living of persons with disabilities in Austria. This issue got completely lost in the NRP as well as the CSR. Thus, we repeat our last year</w:t>
      </w:r>
      <w:r w:rsidR="000E1717" w:rsidRPr="00BA612C">
        <w:rPr>
          <w:lang w:eastAsia="en-GB"/>
        </w:rPr>
        <w:t>’</w:t>
      </w:r>
      <w:r w:rsidR="00F938A0" w:rsidRPr="00BA612C">
        <w:rPr>
          <w:lang w:eastAsia="en-GB"/>
        </w:rPr>
        <w:t xml:space="preserve">s proposal: </w:t>
      </w:r>
      <w:r w:rsidR="00F938A0" w:rsidRPr="00BA612C" w:rsidDel="007B3A01">
        <w:rPr>
          <w:lang w:eastAsia="en-GB"/>
        </w:rPr>
        <w:t>Distinct programmes or measures need to be presented to reduce the number of persons with disabilities who live in institutions and to establish effective structures for community oriented support</w:t>
      </w:r>
      <w:r w:rsidR="00F938A0" w:rsidRPr="00BA612C">
        <w:rPr>
          <w:lang w:eastAsia="en-GB"/>
        </w:rPr>
        <w:t xml:space="preserve">. </w:t>
      </w:r>
    </w:p>
    <w:p w14:paraId="49CBAA90" w14:textId="77777777" w:rsidR="00144B50" w:rsidRPr="00BA612C" w:rsidRDefault="00144B50" w:rsidP="002723EC"/>
    <w:p w14:paraId="573E7803" w14:textId="74CA6855" w:rsidR="00032FAA" w:rsidRPr="00BA612C" w:rsidRDefault="00616349" w:rsidP="002723EC">
      <w:pPr>
        <w:pStyle w:val="Un-numberedsubheading"/>
        <w:spacing w:after="0"/>
        <w:rPr>
          <w:b w:val="0"/>
        </w:rPr>
      </w:pPr>
      <w:r w:rsidRPr="00BA612C">
        <w:rPr>
          <w:b w:val="0"/>
        </w:rPr>
        <w:t>N</w:t>
      </w:r>
      <w:r w:rsidR="00DE129C" w:rsidRPr="00BA612C">
        <w:rPr>
          <w:b w:val="0"/>
        </w:rPr>
        <w:t>ew</w:t>
      </w:r>
      <w:r w:rsidRPr="00BA612C">
        <w:rPr>
          <w:b w:val="0"/>
        </w:rPr>
        <w:t xml:space="preserve"> </w:t>
      </w:r>
      <w:r w:rsidR="00D917DE" w:rsidRPr="00BA612C">
        <w:rPr>
          <w:b w:val="0"/>
        </w:rPr>
        <w:t>a</w:t>
      </w:r>
      <w:r w:rsidR="007C5A60" w:rsidRPr="00BA612C">
        <w:rPr>
          <w:b w:val="0"/>
        </w:rPr>
        <w:t>lternative data could not be found</w:t>
      </w:r>
      <w:r w:rsidR="00032FAA" w:rsidRPr="00BA612C">
        <w:rPr>
          <w:b w:val="0"/>
        </w:rPr>
        <w:t>.</w:t>
      </w:r>
    </w:p>
    <w:p w14:paraId="680B5B4B" w14:textId="77777777" w:rsidR="00032FAA" w:rsidRPr="00BA612C" w:rsidRDefault="00032FAA" w:rsidP="002723EC">
      <w:pPr>
        <w:pStyle w:val="Un-numberedsubheading"/>
        <w:spacing w:after="0"/>
        <w:rPr>
          <w:b w:val="0"/>
        </w:rPr>
      </w:pPr>
    </w:p>
    <w:p w14:paraId="7FF30D2A" w14:textId="3AA2D20E" w:rsidR="00B2465C" w:rsidRPr="00BA612C" w:rsidRDefault="0010423F" w:rsidP="002723EC">
      <w:pPr>
        <w:pStyle w:val="Heading1"/>
        <w:rPr>
          <w:szCs w:val="24"/>
        </w:rPr>
      </w:pPr>
      <w:bookmarkStart w:id="23" w:name="_Toc429999642"/>
      <w:bookmarkStart w:id="24" w:name="_Toc483400176"/>
      <w:r w:rsidRPr="00BA612C">
        <w:rPr>
          <w:szCs w:val="24"/>
        </w:rPr>
        <w:t>Description of the situation and trends in relation to each target area</w:t>
      </w:r>
      <w:bookmarkEnd w:id="23"/>
      <w:bookmarkEnd w:id="24"/>
    </w:p>
    <w:p w14:paraId="65A75388" w14:textId="77777777" w:rsidR="0035075F" w:rsidRPr="00BA612C" w:rsidRDefault="0035075F" w:rsidP="002723EC"/>
    <w:p w14:paraId="4A84AA3A" w14:textId="70BF7A92" w:rsidR="00FC72D2" w:rsidRPr="00BA612C" w:rsidRDefault="00FC72D2" w:rsidP="002723EC">
      <w:r w:rsidRPr="00BA612C">
        <w:t>Trends in relation to employment, education, poverty and social exclusion are discussed in chapter 2 (please see above).</w:t>
      </w:r>
    </w:p>
    <w:p w14:paraId="252A254D" w14:textId="77777777" w:rsidR="00273F82" w:rsidRPr="00BA612C" w:rsidRDefault="00273F82" w:rsidP="002723EC"/>
    <w:p w14:paraId="38B8BFCA" w14:textId="76230C77" w:rsidR="000F26F1" w:rsidRPr="00BA612C" w:rsidRDefault="00987381" w:rsidP="002723EC">
      <w:r w:rsidRPr="00BA612C">
        <w:rPr>
          <w:lang w:eastAsia="en-GB"/>
        </w:rPr>
        <w:t xml:space="preserve">Trends can only be described </w:t>
      </w:r>
      <w:r w:rsidR="00445988" w:rsidRPr="00BA612C">
        <w:rPr>
          <w:lang w:eastAsia="en-GB"/>
        </w:rPr>
        <w:t xml:space="preserve">in a meaningful way </w:t>
      </w:r>
      <w:r w:rsidRPr="00BA612C">
        <w:rPr>
          <w:lang w:eastAsia="en-GB"/>
        </w:rPr>
        <w:t>when sufficient data</w:t>
      </w:r>
      <w:r w:rsidR="00697728" w:rsidRPr="00BA612C">
        <w:rPr>
          <w:lang w:eastAsia="en-GB"/>
        </w:rPr>
        <w:t xml:space="preserve"> – in line with the CRPD –</w:t>
      </w:r>
      <w:r w:rsidRPr="00BA612C">
        <w:rPr>
          <w:lang w:eastAsia="en-GB"/>
        </w:rPr>
        <w:t xml:space="preserve"> is availabl</w:t>
      </w:r>
      <w:r w:rsidR="00975B22" w:rsidRPr="00BA612C">
        <w:rPr>
          <w:lang w:eastAsia="en-GB"/>
        </w:rPr>
        <w:t>e</w:t>
      </w:r>
      <w:r w:rsidRPr="00BA612C">
        <w:rPr>
          <w:lang w:eastAsia="en-GB"/>
        </w:rPr>
        <w:t xml:space="preserve">. </w:t>
      </w:r>
      <w:r w:rsidR="00273F82" w:rsidRPr="00BA612C">
        <w:rPr>
          <w:lang w:eastAsia="en-GB"/>
        </w:rPr>
        <w:t xml:space="preserve">Data collection in line with the CRPD needs to be carried out and published. </w:t>
      </w:r>
      <w:r w:rsidR="0050328E" w:rsidRPr="00BA612C">
        <w:rPr>
          <w:lang w:eastAsia="en-GB"/>
        </w:rPr>
        <w:t>Specifically, t</w:t>
      </w:r>
      <w:r w:rsidR="000F26F1" w:rsidRPr="00BA612C">
        <w:rPr>
          <w:lang w:eastAsia="en-GB"/>
        </w:rPr>
        <w:t xml:space="preserve">he term ‘disability’ has to be used (e.g. in data collection) in line with the CRPD – understood as societal attitudes that hinder persons to participate fully in society. Currently, </w:t>
      </w:r>
      <w:r w:rsidR="000F26F1" w:rsidRPr="00BA612C">
        <w:t xml:space="preserve">different models of disability are in use (regarding legal framework and regulations on the one hand and political practices on the other hand), leading to the fact that personal ‘deficits’ instead of barriers are addressed. </w:t>
      </w:r>
      <w:r w:rsidR="00273F82" w:rsidRPr="00BA612C">
        <w:rPr>
          <w:lang w:eastAsia="en-GB"/>
        </w:rPr>
        <w:t>Persons with disabilities of all ages should be effectively and distinctively included in data collection. In this context, research institutions, bringing together scientists and persons with disabilities need to be set up to carry out data collection and studies on the living situation of persons with disabilities in Austria. Intersections between different categories such as gender, age or language need to be included in the provision and the analysis of data collected.</w:t>
      </w:r>
      <w:r w:rsidR="000F26F1" w:rsidRPr="00BA612C">
        <w:rPr>
          <w:lang w:eastAsia="en-GB"/>
        </w:rPr>
        <w:t xml:space="preserve"> </w:t>
      </w:r>
    </w:p>
    <w:p w14:paraId="7CCE17AA" w14:textId="77777777" w:rsidR="00FC72D2" w:rsidRPr="00BA612C" w:rsidRDefault="00FC72D2" w:rsidP="002723EC"/>
    <w:p w14:paraId="67383A0B" w14:textId="6B765022" w:rsidR="0010423F" w:rsidRPr="00BA612C" w:rsidRDefault="0010423F" w:rsidP="002723EC">
      <w:pPr>
        <w:pStyle w:val="Heading2"/>
        <w:rPr>
          <w:szCs w:val="24"/>
        </w:rPr>
      </w:pPr>
      <w:bookmarkStart w:id="25" w:name="_Toc429999643"/>
      <w:bookmarkStart w:id="26" w:name="_Toc483400177"/>
      <w:r w:rsidRPr="00BA612C">
        <w:rPr>
          <w:szCs w:val="24"/>
        </w:rPr>
        <w:t>Employment</w:t>
      </w:r>
      <w:bookmarkEnd w:id="25"/>
      <w:bookmarkEnd w:id="26"/>
    </w:p>
    <w:p w14:paraId="7317ABFB" w14:textId="77777777" w:rsidR="0010423F" w:rsidRPr="00BA612C" w:rsidRDefault="0010423F" w:rsidP="002723EC"/>
    <w:p w14:paraId="71B99CA1" w14:textId="1DD50B11" w:rsidR="0000171F" w:rsidRPr="00BA612C" w:rsidRDefault="00B57CB6" w:rsidP="002723EC">
      <w:r w:rsidRPr="00BA612C">
        <w:t>Still true for 2015, t</w:t>
      </w:r>
      <w:r w:rsidR="00786599" w:rsidRPr="00BA612C">
        <w:t>he recent economic development is characterised by an ongoing struggle with consequences of the economic crisis and persistent high unemployment which worsened</w:t>
      </w:r>
      <w:r w:rsidR="00454ED3" w:rsidRPr="00BA612C">
        <w:t xml:space="preserve"> labour market chances of persons</w:t>
      </w:r>
      <w:r w:rsidR="00786599" w:rsidRPr="00BA612C">
        <w:t xml:space="preserve"> with disabilities or health problems. This is illustrated by the increasing unemployment of </w:t>
      </w:r>
      <w:r w:rsidR="005F23BD" w:rsidRPr="00BA612C">
        <w:t>persons</w:t>
      </w:r>
      <w:r w:rsidR="00786599" w:rsidRPr="00BA612C">
        <w:t xml:space="preserve"> with disabilities or health problems that make them difficult to place.</w:t>
      </w:r>
      <w:r w:rsidR="0000171F" w:rsidRPr="00BA612C">
        <w:t xml:space="preserve"> As </w:t>
      </w:r>
      <w:r w:rsidR="003B4ADB" w:rsidRPr="00BA612C">
        <w:t>already mentioned in chapter 2.2.1</w:t>
      </w:r>
      <w:r w:rsidR="0000171F" w:rsidRPr="00BA612C">
        <w:t xml:space="preserve">, the trends over time show that unemployment increased more for persons with disabilities compared to the national average. While total unemployment increased from 2006 to 2014 by 33%, the unemployment of persons with disabilities doubled. </w:t>
      </w:r>
    </w:p>
    <w:p w14:paraId="11164E77" w14:textId="77777777" w:rsidR="00BF021F" w:rsidRPr="00BA612C" w:rsidRDefault="00BF021F" w:rsidP="002723EC"/>
    <w:p w14:paraId="78BAB3A9" w14:textId="38103FEC" w:rsidR="0000171F" w:rsidRPr="00BA612C" w:rsidRDefault="0000171F" w:rsidP="002723EC">
      <w:r w:rsidRPr="00BA612C">
        <w:t>The lower the educational level the higher the risk of being unemployed. This holds for unemployment in general and also for unemployment of persons with disabilities (Wroblewski 2012: 20).</w:t>
      </w:r>
      <w:r w:rsidRPr="00BA612C">
        <w:rPr>
          <w:rStyle w:val="FootnoteReference"/>
        </w:rPr>
        <w:footnoteReference w:id="34"/>
      </w:r>
      <w:r w:rsidR="00BF021F" w:rsidRPr="00BA612C">
        <w:t xml:space="preserve"> </w:t>
      </w:r>
    </w:p>
    <w:p w14:paraId="61C1C303" w14:textId="77777777" w:rsidR="00032FAA" w:rsidRPr="00BA612C" w:rsidRDefault="00032FAA" w:rsidP="002723EC"/>
    <w:p w14:paraId="0EF7769F" w14:textId="3E50D32C" w:rsidR="00786599" w:rsidRPr="00BA612C" w:rsidRDefault="00786599" w:rsidP="002723EC">
      <w:r w:rsidRPr="00BA612C">
        <w:t xml:space="preserve">Another fact which impedes labour market participation of </w:t>
      </w:r>
      <w:r w:rsidR="005F23BD" w:rsidRPr="00BA612C">
        <w:t>persons</w:t>
      </w:r>
      <w:r w:rsidRPr="00BA612C">
        <w:t xml:space="preserve"> with health problems is the attempt to reduce early retirement and retirement due to invalidity. By now there is no empirical evidence that shows a causal relation between reforms of retirement system and increasing unemployment of </w:t>
      </w:r>
      <w:r w:rsidR="00FA10DF" w:rsidRPr="00BA612C">
        <w:t>persons</w:t>
      </w:r>
      <w:r w:rsidRPr="00BA612C">
        <w:t xml:space="preserve"> with disabilities or health problems. </w:t>
      </w:r>
      <w:r w:rsidR="00530114" w:rsidRPr="00BA612C">
        <w:t>We can only assume that there is a causal relation between the above mentioned measures and the significant increase of unemployed persons with disabilities.</w:t>
      </w:r>
    </w:p>
    <w:p w14:paraId="46FB0DA0" w14:textId="77777777" w:rsidR="00032FAA" w:rsidRPr="00BA612C" w:rsidRDefault="00032FAA" w:rsidP="002723EC"/>
    <w:p w14:paraId="4A7310CB" w14:textId="3AED3018" w:rsidR="00032FAA" w:rsidRPr="00BA612C" w:rsidRDefault="00786599" w:rsidP="002723EC">
      <w:r w:rsidRPr="00BA612C">
        <w:t xml:space="preserve">An additional factor is the reduced willingness of employers (private as well as public sector) to employ </w:t>
      </w:r>
      <w:r w:rsidR="009F03CC" w:rsidRPr="00BA612C">
        <w:t>persons</w:t>
      </w:r>
      <w:r w:rsidRPr="00BA612C">
        <w:t xml:space="preserve"> with disabilities. A </w:t>
      </w:r>
      <w:r w:rsidR="00AF39AC" w:rsidRPr="00BA612C">
        <w:t xml:space="preserve">2012 </w:t>
      </w:r>
      <w:r w:rsidRPr="00BA612C">
        <w:t>study focusing on employment prospects of academics wit</w:t>
      </w:r>
      <w:r w:rsidR="00BB5E2D" w:rsidRPr="00BA612C">
        <w:t>h disabilities showed that the ‘closing’</w:t>
      </w:r>
      <w:r w:rsidRPr="00BA612C">
        <w:t xml:space="preserve"> of the public sector not only worsens employment prospects of the target group but also influence the public discourse if the state does not follow its legal obligation (Wroblewski et al. 2012</w:t>
      </w:r>
      <w:r w:rsidR="00032FAA" w:rsidRPr="00BA612C">
        <w:t>).</w:t>
      </w:r>
      <w:r w:rsidR="00302077" w:rsidRPr="00BA612C">
        <w:rPr>
          <w:rStyle w:val="FootnoteReference"/>
        </w:rPr>
        <w:footnoteReference w:id="35"/>
      </w:r>
    </w:p>
    <w:p w14:paraId="468E5ABF" w14:textId="0EAB8557" w:rsidR="00786599" w:rsidRPr="00BA612C" w:rsidRDefault="00786599" w:rsidP="002723EC"/>
    <w:p w14:paraId="5E3C38F0" w14:textId="2EFE7A4B" w:rsidR="00786599" w:rsidRPr="00BA612C" w:rsidRDefault="00786599" w:rsidP="002723EC">
      <w:r w:rsidRPr="00BA612C">
        <w:t xml:space="preserve">However, </w:t>
      </w:r>
      <w:r w:rsidR="00BB5E2D" w:rsidRPr="00BA612C">
        <w:t>persons</w:t>
      </w:r>
      <w:r w:rsidRPr="00BA612C">
        <w:t xml:space="preserve"> with health problems are increasingly recognised as a target group for employment policies. The main aim is to prevent people with health problems from leaving employment early (invalidity retirement) and to support employers to create adequate workplaces for elderly or people with health problems. Fit2work is an example of a policy in that context that addresses workers and employers through </w:t>
      </w:r>
      <w:r w:rsidR="0047358E" w:rsidRPr="00BA612C">
        <w:t>advice</w:t>
      </w:r>
      <w:r w:rsidRPr="00BA612C">
        <w:t xml:space="preserve"> and support.</w:t>
      </w:r>
      <w:r w:rsidRPr="00BA612C">
        <w:rPr>
          <w:rStyle w:val="FootnoteReference"/>
        </w:rPr>
        <w:footnoteReference w:id="36"/>
      </w:r>
      <w:r w:rsidRPr="00BA612C">
        <w:t xml:space="preserve"> </w:t>
      </w:r>
      <w:r w:rsidR="009C4711" w:rsidRPr="00BA612C">
        <w:t>Cons</w:t>
      </w:r>
      <w:r w:rsidR="0007660B" w:rsidRPr="00BA612C">
        <w:t>i</w:t>
      </w:r>
      <w:r w:rsidR="009C4711" w:rsidRPr="00BA612C">
        <w:t>dering a distinct disability per</w:t>
      </w:r>
      <w:r w:rsidR="0007660B" w:rsidRPr="00BA612C">
        <w:t>s</w:t>
      </w:r>
      <w:r w:rsidR="009C4711" w:rsidRPr="00BA612C">
        <w:t>pective</w:t>
      </w:r>
      <w:r w:rsidR="007E2E95" w:rsidRPr="00BA612C">
        <w:t xml:space="preserve"> with a focus on officially recognised persons with disab</w:t>
      </w:r>
      <w:r w:rsidR="0063140E" w:rsidRPr="00BA612C">
        <w:t>i</w:t>
      </w:r>
      <w:r w:rsidR="007E2E95" w:rsidRPr="00BA612C">
        <w:t>lities</w:t>
      </w:r>
      <w:r w:rsidR="009C4711" w:rsidRPr="00BA612C">
        <w:t>, it has to be doubted that these measures are effecti</w:t>
      </w:r>
      <w:r w:rsidR="0007660B" w:rsidRPr="00BA612C">
        <w:t>v</w:t>
      </w:r>
      <w:r w:rsidR="009C4711" w:rsidRPr="00BA612C">
        <w:t>e. They are too unspecific and aim at improving health at the workplace on a very general level. Issues for persons with disabilities are much more complex.</w:t>
      </w:r>
    </w:p>
    <w:p w14:paraId="6C8729F4" w14:textId="77777777" w:rsidR="00242353" w:rsidRPr="00BA612C" w:rsidRDefault="00242353" w:rsidP="002723EC"/>
    <w:p w14:paraId="6B60B43A" w14:textId="083687A5" w:rsidR="00242353" w:rsidRPr="00BA612C" w:rsidRDefault="00242353" w:rsidP="002723EC">
      <w:r w:rsidRPr="00BA612C">
        <w:t>Important to mention in the context of employment and the labour market situa</w:t>
      </w:r>
      <w:r w:rsidR="007E7D1C" w:rsidRPr="00BA612C">
        <w:t>tion of</w:t>
      </w:r>
      <w:r w:rsidRPr="00BA612C">
        <w:t xml:space="preserve"> persons with disabilities, persons with disabilities who are in sheltered workshops, which are the responsibility of the nine Laender, are not included in any labour market or labour force data</w:t>
      </w:r>
      <w:r w:rsidR="00701955" w:rsidRPr="00BA612C">
        <w:t xml:space="preserve"> (see chapter 2.2.2)</w:t>
      </w:r>
      <w:r w:rsidRPr="00BA612C">
        <w:t>.</w:t>
      </w:r>
      <w:r w:rsidR="009C4711" w:rsidRPr="00BA612C">
        <w:t xml:space="preserve"> </w:t>
      </w:r>
      <w:r w:rsidR="00C9070D" w:rsidRPr="00BA612C">
        <w:t>Still, n</w:t>
      </w:r>
      <w:r w:rsidR="009C4711" w:rsidRPr="00BA612C">
        <w:t>o efforts are taken to reduce the number of persons with disabilities in sheltered workshops</w:t>
      </w:r>
      <w:r w:rsidR="00D80162" w:rsidRPr="00BA612C">
        <w:t>.</w:t>
      </w:r>
    </w:p>
    <w:p w14:paraId="6CA967D0" w14:textId="77777777" w:rsidR="0010423F" w:rsidRPr="00BA612C" w:rsidRDefault="0010423F" w:rsidP="002723EC"/>
    <w:p w14:paraId="3A007B7E" w14:textId="77777777" w:rsidR="0010423F" w:rsidRPr="00BA612C" w:rsidRDefault="0010423F" w:rsidP="002723EC">
      <w:pPr>
        <w:pStyle w:val="Heading2"/>
        <w:rPr>
          <w:szCs w:val="24"/>
        </w:rPr>
      </w:pPr>
      <w:bookmarkStart w:id="27" w:name="_Toc429999644"/>
      <w:bookmarkStart w:id="28" w:name="_Toc483400178"/>
      <w:r w:rsidRPr="00BA612C">
        <w:rPr>
          <w:szCs w:val="24"/>
        </w:rPr>
        <w:t>Education</w:t>
      </w:r>
      <w:bookmarkEnd w:id="27"/>
      <w:bookmarkEnd w:id="28"/>
    </w:p>
    <w:p w14:paraId="3F8E5E06" w14:textId="77777777" w:rsidR="0010423F" w:rsidRPr="00BA612C" w:rsidRDefault="0010423F" w:rsidP="002723EC"/>
    <w:p w14:paraId="55F3F506" w14:textId="4468A683" w:rsidR="001601AB" w:rsidRPr="00BA612C" w:rsidRDefault="00251E38" w:rsidP="002723EC">
      <w:r w:rsidRPr="00BA612C">
        <w:t>As there is no national data on early school leaving of young pe</w:t>
      </w:r>
      <w:r w:rsidR="00070CBE" w:rsidRPr="00BA612C">
        <w:t>rsons</w:t>
      </w:r>
      <w:r w:rsidRPr="00BA612C">
        <w:t xml:space="preserve"> with disabilities, we can only refer to EU</w:t>
      </w:r>
      <w:r w:rsidR="00654A7A" w:rsidRPr="00BA612C">
        <w:t xml:space="preserve"> </w:t>
      </w:r>
      <w:r w:rsidRPr="00BA612C">
        <w:t>SILC data which indicates that young pe</w:t>
      </w:r>
      <w:r w:rsidR="00D23FBA" w:rsidRPr="00BA612C">
        <w:t>rsons</w:t>
      </w:r>
      <w:r w:rsidRPr="00BA612C">
        <w:t xml:space="preserve"> with disabilities are more likely to drop out of the school system than non-disabled young pe</w:t>
      </w:r>
      <w:r w:rsidR="003870B3" w:rsidRPr="00BA612C">
        <w:t>rsons</w:t>
      </w:r>
      <w:r w:rsidRPr="00BA612C">
        <w:t xml:space="preserve">. </w:t>
      </w:r>
    </w:p>
    <w:p w14:paraId="5D7557EA" w14:textId="77777777" w:rsidR="00251E38" w:rsidRPr="00BA612C" w:rsidRDefault="00251E38" w:rsidP="002723EC"/>
    <w:p w14:paraId="0B0BD900" w14:textId="4CA4201F" w:rsidR="001601AB" w:rsidRPr="00BA612C" w:rsidRDefault="001013A7" w:rsidP="002723EC">
      <w:r w:rsidRPr="00BA612C">
        <w:t xml:space="preserve">Few </w:t>
      </w:r>
      <w:r w:rsidR="00251E38" w:rsidRPr="00BA612C">
        <w:t xml:space="preserve">new data is available on tertiary education of persons with disabilities </w:t>
      </w:r>
      <w:r w:rsidR="003C49FE" w:rsidRPr="00BA612C">
        <w:t xml:space="preserve">in </w:t>
      </w:r>
      <w:r w:rsidR="00251E38" w:rsidRPr="00BA612C">
        <w:t>Austria either, EU</w:t>
      </w:r>
      <w:r w:rsidR="00654A7A" w:rsidRPr="00BA612C">
        <w:t xml:space="preserve"> </w:t>
      </w:r>
      <w:r w:rsidR="00251E38" w:rsidRPr="00BA612C">
        <w:t>SILC provides an unclear picture, with striking differences between single years which might be due to the unspecific definition of “acti</w:t>
      </w:r>
      <w:r w:rsidR="00CD1045" w:rsidRPr="00BA612C">
        <w:t>v</w:t>
      </w:r>
      <w:r w:rsidR="00251E38" w:rsidRPr="00BA612C">
        <w:t>ity limitations” of the sample. Thus, trends cannot be seriously described.</w:t>
      </w:r>
    </w:p>
    <w:p w14:paraId="248250A2" w14:textId="77777777" w:rsidR="00716A2D" w:rsidRPr="00BA612C" w:rsidRDefault="00716A2D" w:rsidP="002723EC"/>
    <w:p w14:paraId="365C296C" w14:textId="72D9AD12" w:rsidR="00716A2D" w:rsidRPr="00BA612C" w:rsidRDefault="00716A2D" w:rsidP="002723EC">
      <w:r w:rsidRPr="00BA612C">
        <w:t>It has to be mentioned in this context, that the Austrian education system is rather segregating. Many children with disabilities attend special schools with the negative effect of a low educational attainment and a lifelong disadvantage on the labour market</w:t>
      </w:r>
      <w:r w:rsidR="001F7F3C" w:rsidRPr="00BA612C">
        <w:t xml:space="preserve"> (see chapter 4.2). </w:t>
      </w:r>
    </w:p>
    <w:p w14:paraId="1F49AD84" w14:textId="77777777" w:rsidR="0010423F" w:rsidRPr="00BA612C" w:rsidRDefault="0010423F" w:rsidP="002723EC"/>
    <w:p w14:paraId="6892569A" w14:textId="77777777" w:rsidR="0010423F" w:rsidRPr="00BA612C" w:rsidRDefault="0010423F" w:rsidP="002723EC">
      <w:pPr>
        <w:pStyle w:val="Heading2"/>
        <w:rPr>
          <w:szCs w:val="24"/>
        </w:rPr>
      </w:pPr>
      <w:bookmarkStart w:id="29" w:name="_Toc429999645"/>
      <w:bookmarkStart w:id="30" w:name="_Toc483400179"/>
      <w:r w:rsidRPr="00BA612C">
        <w:rPr>
          <w:szCs w:val="24"/>
        </w:rPr>
        <w:t>Poverty and social inclusion</w:t>
      </w:r>
      <w:bookmarkEnd w:id="29"/>
      <w:bookmarkEnd w:id="30"/>
    </w:p>
    <w:p w14:paraId="1B1A0C13" w14:textId="77777777" w:rsidR="0010423F" w:rsidRPr="00BA612C" w:rsidRDefault="0010423F" w:rsidP="002723EC"/>
    <w:p w14:paraId="494E5897" w14:textId="7CA0ECC2" w:rsidR="00420106" w:rsidRPr="00BA612C" w:rsidRDefault="00654A7A" w:rsidP="002723EC">
      <w:r w:rsidRPr="00BA612C">
        <w:t xml:space="preserve">Although </w:t>
      </w:r>
      <w:r w:rsidR="00DF1E90" w:rsidRPr="00BA612C">
        <w:t>persons with disabilities</w:t>
      </w:r>
      <w:r w:rsidRPr="00BA612C">
        <w:t xml:space="preserve"> are not explicitly mentioned</w:t>
      </w:r>
      <w:r w:rsidR="00DF1E90" w:rsidRPr="00BA612C">
        <w:t>, the Armutskonferenz</w:t>
      </w:r>
      <w:r w:rsidR="00DF1E90" w:rsidRPr="00BA612C">
        <w:rPr>
          <w:rStyle w:val="FootnoteReference"/>
        </w:rPr>
        <w:footnoteReference w:id="37"/>
      </w:r>
      <w:r w:rsidR="00DF1E90" w:rsidRPr="00BA612C">
        <w:t xml:space="preserve"> (Netzwerk gegen Armut und soziale Ausgrenzung/Poverty Conference; Network against Poverty and Social Exclusion) stated </w:t>
      </w:r>
      <w:r w:rsidR="00B01461" w:rsidRPr="00BA612C">
        <w:t xml:space="preserve">already </w:t>
      </w:r>
      <w:r w:rsidR="00DF1E90" w:rsidRPr="00BA612C">
        <w:t>in October 2014 that persons affected by poverty and social exclusion represent a</w:t>
      </w:r>
      <w:r w:rsidR="006978DC">
        <w:t xml:space="preserve"> group of around 400.000 to 500.</w:t>
      </w:r>
      <w:r w:rsidR="00DF1E90" w:rsidRPr="00BA612C">
        <w:t xml:space="preserve">000 persons with poor health conditions or chronic illness, living in the most difficult situations. </w:t>
      </w:r>
      <w:r w:rsidRPr="00BA612C">
        <w:t>It is i</w:t>
      </w:r>
      <w:r w:rsidR="00420106" w:rsidRPr="00BA612C">
        <w:t>mportant to note</w:t>
      </w:r>
      <w:r w:rsidRPr="00BA612C">
        <w:t xml:space="preserve"> that</w:t>
      </w:r>
      <w:r w:rsidR="00420106" w:rsidRPr="00BA612C">
        <w:t xml:space="preserve"> in 2014 the Armutskonferenz highlighted the fact that it is unknown how many persons are affected because persons with disabilities are counted as</w:t>
      </w:r>
      <w:r w:rsidRPr="00BA612C">
        <w:t xml:space="preserve"> and</w:t>
      </w:r>
      <w:r w:rsidR="00420106" w:rsidRPr="00BA612C">
        <w:t xml:space="preserve"> grouped with children.</w:t>
      </w:r>
      <w:r w:rsidR="00420106" w:rsidRPr="00BA612C">
        <w:rPr>
          <w:rStyle w:val="FootnoteReference"/>
        </w:rPr>
        <w:footnoteReference w:id="38"/>
      </w:r>
    </w:p>
    <w:p w14:paraId="7C28AD38" w14:textId="77777777" w:rsidR="00393E87" w:rsidRPr="00BA612C" w:rsidRDefault="00393E87" w:rsidP="002723EC"/>
    <w:p w14:paraId="77C5D927" w14:textId="321ADBA1" w:rsidR="00393E87" w:rsidRPr="00BA612C" w:rsidRDefault="00393E87" w:rsidP="002723EC">
      <w:r w:rsidRPr="00BA612C">
        <w:t xml:space="preserve">Persons with disabilities have to be explicitly mentioned in reports on and evaluations of the poverty situation in Austria. So far, this has not taken place in an adequate way. Intersectional aspects of disability – being a person with disabilities and at the same time, being at risk of poverty and unemployed – have to be taken into account when including persons with disabilities into data collection on poverty. </w:t>
      </w:r>
    </w:p>
    <w:p w14:paraId="1310A480" w14:textId="77777777" w:rsidR="00D205B1" w:rsidRPr="00BA612C" w:rsidRDefault="00D205B1" w:rsidP="002723EC"/>
    <w:p w14:paraId="008384E4" w14:textId="4D4E0AE1" w:rsidR="00D205B1" w:rsidRPr="00BA612C" w:rsidRDefault="00D205B1" w:rsidP="002723EC">
      <w:r w:rsidRPr="00BA612C">
        <w:t xml:space="preserve">In a </w:t>
      </w:r>
      <w:r w:rsidR="0073093B" w:rsidRPr="00BA612C">
        <w:t>document</w:t>
      </w:r>
      <w:r w:rsidRPr="00BA612C">
        <w:t xml:space="preserve"> from </w:t>
      </w:r>
      <w:r w:rsidR="008122DB" w:rsidRPr="00BA612C">
        <w:t xml:space="preserve">April </w:t>
      </w:r>
      <w:r w:rsidRPr="00BA612C">
        <w:t>2014</w:t>
      </w:r>
      <w:r w:rsidR="00032FAA" w:rsidRPr="00BA612C">
        <w:t>,</w:t>
      </w:r>
      <w:r w:rsidR="00C91E1A" w:rsidRPr="00BA612C">
        <w:rPr>
          <w:rStyle w:val="FootnoteReference"/>
        </w:rPr>
        <w:footnoteReference w:id="39"/>
      </w:r>
      <w:r w:rsidRPr="00BA612C">
        <w:t xml:space="preserve"> </w:t>
      </w:r>
      <w:r w:rsidR="008122DB" w:rsidRPr="00BA612C">
        <w:t xml:space="preserve">the Armutskonferenz </w:t>
      </w:r>
      <w:r w:rsidR="0073093B" w:rsidRPr="00BA612C">
        <w:t xml:space="preserve">states </w:t>
      </w:r>
      <w:r w:rsidR="00E33F28" w:rsidRPr="00BA612C">
        <w:t xml:space="preserve">that two of the Austrian Laender (Upper Austria and Carinthia) </w:t>
      </w:r>
      <w:r w:rsidR="00B16651" w:rsidRPr="00BA612C">
        <w:t xml:space="preserve">ignore federal regulations regarding </w:t>
      </w:r>
      <w:r w:rsidR="009932B6" w:rsidRPr="00BA612C">
        <w:t xml:space="preserve">higher </w:t>
      </w:r>
      <w:r w:rsidR="00500EF4" w:rsidRPr="00BA612C">
        <w:t>family allowance (</w:t>
      </w:r>
      <w:r w:rsidR="009932B6" w:rsidRPr="00BA612C">
        <w:t xml:space="preserve">erhöhte </w:t>
      </w:r>
      <w:r w:rsidR="00322077" w:rsidRPr="00BA612C">
        <w:t xml:space="preserve">Familienbeihilfe), saying that </w:t>
      </w:r>
      <w:r w:rsidR="003548E8" w:rsidRPr="00BA612C">
        <w:t xml:space="preserve">family allowance must not be </w:t>
      </w:r>
      <w:r w:rsidR="000B2163" w:rsidRPr="00BA612C">
        <w:t xml:space="preserve">relevant for the calculation of the needs-based minimum benefit system. </w:t>
      </w:r>
      <w:r w:rsidR="004B6400" w:rsidRPr="00BA612C">
        <w:t xml:space="preserve">With regard to the risk of poverty, households with persons with disabilities </w:t>
      </w:r>
      <w:r w:rsidR="00245BCD" w:rsidRPr="00BA612C">
        <w:t>have less money available</w:t>
      </w:r>
      <w:r w:rsidR="00F145AE" w:rsidRPr="00BA612C">
        <w:t>,</w:t>
      </w:r>
      <w:r w:rsidR="00E43689" w:rsidRPr="00BA612C">
        <w:t xml:space="preserve"> which </w:t>
      </w:r>
      <w:r w:rsidR="00337987" w:rsidRPr="00BA612C">
        <w:t xml:space="preserve">increases the risk of poverty even more. </w:t>
      </w:r>
      <w:r w:rsidR="00DA61B5" w:rsidRPr="00BA612C">
        <w:t>In a decision from November 2014</w:t>
      </w:r>
      <w:r w:rsidR="000F1FE1" w:rsidRPr="00BA612C">
        <w:t xml:space="preserve">, the Austrian Constitutional Court </w:t>
      </w:r>
      <w:r w:rsidR="00DD2DAE" w:rsidRPr="00BA612C">
        <w:t xml:space="preserve">suspended the Upper Austrian regulation, arguing that </w:t>
      </w:r>
      <w:r w:rsidR="009E4D5C" w:rsidRPr="00BA612C">
        <w:t>this leads to injustice between persons with and without disabilities</w:t>
      </w:r>
      <w:r w:rsidR="00BF021F" w:rsidRPr="00BA612C">
        <w:t>.</w:t>
      </w:r>
      <w:r w:rsidR="00A977CE" w:rsidRPr="00BA612C">
        <w:rPr>
          <w:rStyle w:val="FootnoteReference"/>
        </w:rPr>
        <w:footnoteReference w:id="40"/>
      </w:r>
      <w:r w:rsidR="009E4D5C" w:rsidRPr="00BA612C">
        <w:t xml:space="preserve"> </w:t>
      </w:r>
      <w:r w:rsidR="00214AEC" w:rsidRPr="00BA612C">
        <w:t>The Constitutional Co</w:t>
      </w:r>
      <w:r w:rsidR="001264BB" w:rsidRPr="00BA612C">
        <w:t>urt decided</w:t>
      </w:r>
      <w:r w:rsidR="00CA55E9" w:rsidRPr="00BA612C">
        <w:t xml:space="preserve"> (d</w:t>
      </w:r>
      <w:r w:rsidR="0023286F" w:rsidRPr="00BA612C">
        <w:t>ecision no. V75/2014 ua</w:t>
      </w:r>
      <w:r w:rsidR="00C42B3C" w:rsidRPr="00BA612C">
        <w:t>; 26.11.2014</w:t>
      </w:r>
      <w:r w:rsidR="00032FAA" w:rsidRPr="00BA612C">
        <w:t>)</w:t>
      </w:r>
      <w:r w:rsidR="00652767" w:rsidRPr="00BA612C">
        <w:rPr>
          <w:rStyle w:val="FootnoteReference"/>
        </w:rPr>
        <w:footnoteReference w:id="41"/>
      </w:r>
      <w:r w:rsidR="001264BB" w:rsidRPr="00BA612C">
        <w:t xml:space="preserve"> that it is against the law to </w:t>
      </w:r>
      <w:r w:rsidR="00214AEC" w:rsidRPr="00BA612C">
        <w:t xml:space="preserve">count the higher family allowance as part of the needs-based minimum benefit system. </w:t>
      </w:r>
    </w:p>
    <w:p w14:paraId="5DA981AE" w14:textId="77777777" w:rsidR="00420106" w:rsidRPr="00BA612C" w:rsidRDefault="00420106" w:rsidP="002723EC"/>
    <w:p w14:paraId="6567EAA4" w14:textId="36F1821B" w:rsidR="006E2CD7" w:rsidRPr="00BA612C" w:rsidRDefault="00602024" w:rsidP="002723EC">
      <w:r w:rsidRPr="00BA612C">
        <w:t xml:space="preserve">In </w:t>
      </w:r>
      <w:r w:rsidR="00A94522" w:rsidRPr="00BA612C">
        <w:t xml:space="preserve">December 2015 but also again in </w:t>
      </w:r>
      <w:r w:rsidR="00F7396C" w:rsidRPr="00BA612C">
        <w:t xml:space="preserve">April </w:t>
      </w:r>
      <w:r w:rsidRPr="00BA612C">
        <w:t xml:space="preserve">2016, the Armutskonferenz pointed </w:t>
      </w:r>
      <w:r w:rsidR="007E2E95" w:rsidRPr="00BA612C">
        <w:t xml:space="preserve">out </w:t>
      </w:r>
      <w:r w:rsidRPr="00BA612C">
        <w:t xml:space="preserve">with regard to minimum income in the context of a still ongoing discussion in Austria to the fact that reforms are needed for persons with disabilities. The Armutskonferenz argued that minimum income is not </w:t>
      </w:r>
      <w:r w:rsidR="007E2E95" w:rsidRPr="00BA612C">
        <w:t xml:space="preserve">effective </w:t>
      </w:r>
      <w:r w:rsidRPr="00BA612C">
        <w:t xml:space="preserve">to cover </w:t>
      </w:r>
      <w:r w:rsidR="007E2E95" w:rsidRPr="00BA612C">
        <w:t xml:space="preserve">higher </w:t>
      </w:r>
      <w:r w:rsidRPr="00BA612C">
        <w:t>costs of living</w:t>
      </w:r>
      <w:r w:rsidR="007E2E95" w:rsidRPr="00BA612C">
        <w:t xml:space="preserve"> for persons with disabilities</w:t>
      </w:r>
      <w:r w:rsidRPr="00BA612C">
        <w:t>.</w:t>
      </w:r>
      <w:r w:rsidR="00A72D26" w:rsidRPr="00BA612C">
        <w:rPr>
          <w:rStyle w:val="FootnoteReference"/>
        </w:rPr>
        <w:footnoteReference w:id="42"/>
      </w:r>
      <w:r w:rsidRPr="00BA612C">
        <w:t xml:space="preserve"> </w:t>
      </w:r>
    </w:p>
    <w:p w14:paraId="6A1907D1" w14:textId="77777777" w:rsidR="00BF021F" w:rsidRPr="00BA612C" w:rsidRDefault="00BF021F" w:rsidP="002723EC"/>
    <w:p w14:paraId="5EA18FEF" w14:textId="3D845025" w:rsidR="006E2CD7" w:rsidRPr="00BA612C" w:rsidRDefault="006E2CD7" w:rsidP="002723EC">
      <w:r w:rsidRPr="00BA612C">
        <w:t>In July 2016, the NGO-Forum of the Austrian Ombudsman Board</w:t>
      </w:r>
      <w:r w:rsidRPr="00BA612C">
        <w:rPr>
          <w:rStyle w:val="FootnoteReference"/>
        </w:rPr>
        <w:footnoteReference w:id="43"/>
      </w:r>
      <w:r w:rsidRPr="00BA612C">
        <w:t xml:space="preserve"> discussed the situation of persons with disabilities, highlighting the mutual relationship between disability and poverty, and also between existing barriers and social deprivation of persons with disabilities. </w:t>
      </w:r>
    </w:p>
    <w:p w14:paraId="3BBC72A7" w14:textId="77777777" w:rsidR="00602024" w:rsidRPr="00BA612C" w:rsidRDefault="00602024" w:rsidP="002723EC"/>
    <w:p w14:paraId="617FC8BF" w14:textId="4D16BC59" w:rsidR="002C2AF0" w:rsidRPr="00BA612C" w:rsidRDefault="00CA5B8E" w:rsidP="002723EC">
      <w:r w:rsidRPr="00BA612C">
        <w:t>Still true for 2015 and 2016, i</w:t>
      </w:r>
      <w:r w:rsidR="00F23130" w:rsidRPr="00BA612C">
        <w:t xml:space="preserve">n the context of a </w:t>
      </w:r>
      <w:r w:rsidR="00541050" w:rsidRPr="00BA612C">
        <w:t xml:space="preserve">statement on the Enquete Commission ‘Strengthening democracy in Austria; Enquete-Kommission ‘Stärkung der Demokratie in Österreich’), </w:t>
      </w:r>
      <w:r w:rsidR="00371B3C" w:rsidRPr="00BA612C">
        <w:t xml:space="preserve">the Armutskonferenz listed </w:t>
      </w:r>
      <w:r w:rsidR="00AB0AD1" w:rsidRPr="00BA612C">
        <w:t xml:space="preserve">disadvantaged </w:t>
      </w:r>
      <w:r w:rsidR="00371B3C" w:rsidRPr="00BA612C">
        <w:t xml:space="preserve">societal ‘groups’ </w:t>
      </w:r>
      <w:r w:rsidR="00AB0AD1" w:rsidRPr="00BA612C">
        <w:t xml:space="preserve">which need to be involved in </w:t>
      </w:r>
      <w:r w:rsidR="00645E51" w:rsidRPr="00BA612C">
        <w:t xml:space="preserve">participatory </w:t>
      </w:r>
      <w:r w:rsidR="005B1D92" w:rsidRPr="00BA612C">
        <w:t>projects</w:t>
      </w:r>
      <w:r w:rsidR="00B8090E" w:rsidRPr="00BA612C">
        <w:t xml:space="preserve">. What </w:t>
      </w:r>
      <w:r w:rsidR="00F145AE" w:rsidRPr="00BA612C">
        <w:t>is</w:t>
      </w:r>
      <w:r w:rsidR="00B8090E" w:rsidRPr="00BA612C">
        <w:t xml:space="preserve"> obvious in the context of this list (mentioning persons with disabilities, persons at risk of poverty, persons without jobs etc</w:t>
      </w:r>
      <w:r w:rsidR="00E7369C" w:rsidRPr="00BA612C">
        <w:t>.</w:t>
      </w:r>
      <w:r w:rsidR="00B8090E" w:rsidRPr="00BA612C">
        <w:t xml:space="preserve">) is that persons with disabilities often </w:t>
      </w:r>
      <w:r w:rsidR="00D8166C" w:rsidRPr="00BA612C">
        <w:t>are</w:t>
      </w:r>
      <w:r w:rsidR="00F145AE" w:rsidRPr="00BA612C">
        <w:t xml:space="preserve"> also</w:t>
      </w:r>
      <w:r w:rsidR="00D8166C" w:rsidRPr="00BA612C">
        <w:t xml:space="preserve"> at the same time at risk of poverty, do not have a job etc. Hence, in Austria, generally speaking, the intersection of diverse forms of </w:t>
      </w:r>
      <w:r w:rsidR="0096784C" w:rsidRPr="00BA612C">
        <w:t>exclusion</w:t>
      </w:r>
      <w:r w:rsidR="00CF0EDC" w:rsidRPr="00BA612C">
        <w:t xml:space="preserve"> influencing the lives of persons with disabilities is not yet a</w:t>
      </w:r>
      <w:r w:rsidR="00F145AE" w:rsidRPr="00BA612C">
        <w:t xml:space="preserve"> recognised</w:t>
      </w:r>
      <w:r w:rsidR="00CF0EDC" w:rsidRPr="00BA612C">
        <w:t xml:space="preserve"> issue</w:t>
      </w:r>
      <w:r w:rsidR="00032FAA" w:rsidRPr="00BA612C">
        <w:t>.</w:t>
      </w:r>
      <w:r w:rsidR="00562DF0" w:rsidRPr="00BA612C">
        <w:rPr>
          <w:rStyle w:val="FootnoteReference"/>
        </w:rPr>
        <w:footnoteReference w:id="44"/>
      </w:r>
      <w:r w:rsidR="00CF0EDC" w:rsidRPr="00BA612C">
        <w:t xml:space="preserve"> </w:t>
      </w:r>
    </w:p>
    <w:p w14:paraId="753F436E" w14:textId="60262E04" w:rsidR="00062BDC" w:rsidRPr="00BA612C" w:rsidRDefault="001E4166" w:rsidP="002723EC">
      <w:pPr>
        <w:rPr>
          <w:lang w:eastAsia="en-GB"/>
        </w:rPr>
      </w:pPr>
      <w:r w:rsidRPr="00BA612C">
        <w:rPr>
          <w:lang w:eastAsia="en-GB"/>
        </w:rPr>
        <w:br w:type="page"/>
      </w:r>
    </w:p>
    <w:p w14:paraId="272E7B21" w14:textId="77777777" w:rsidR="0010423F" w:rsidRPr="00BA612C" w:rsidRDefault="0010423F" w:rsidP="002723EC">
      <w:pPr>
        <w:pStyle w:val="Heading1"/>
        <w:rPr>
          <w:szCs w:val="24"/>
          <w:lang w:eastAsia="en-GB"/>
        </w:rPr>
      </w:pPr>
      <w:bookmarkStart w:id="31" w:name="_Toc429999646"/>
      <w:bookmarkStart w:id="32" w:name="_Toc483400180"/>
      <w:r w:rsidRPr="00BA612C">
        <w:rPr>
          <w:szCs w:val="24"/>
          <w:lang w:eastAsia="en-GB"/>
        </w:rPr>
        <w:t>Assessment of policies in place to meet the relevant headline targets</w:t>
      </w:r>
      <w:bookmarkEnd w:id="31"/>
      <w:bookmarkEnd w:id="32"/>
    </w:p>
    <w:p w14:paraId="60981140" w14:textId="77777777" w:rsidR="0071575B" w:rsidRPr="00BA612C" w:rsidRDefault="0071575B" w:rsidP="002723EC">
      <w:pPr>
        <w:rPr>
          <w:lang w:eastAsia="en-GB"/>
        </w:rPr>
      </w:pPr>
    </w:p>
    <w:p w14:paraId="12622224" w14:textId="4F8B3DB0" w:rsidR="0071575B" w:rsidRPr="00BA612C" w:rsidRDefault="0071575B" w:rsidP="002723EC">
      <w:pPr>
        <w:rPr>
          <w:lang w:eastAsia="en-GB"/>
        </w:rPr>
      </w:pPr>
      <w:r w:rsidRPr="00BA612C">
        <w:rPr>
          <w:lang w:eastAsia="en-GB"/>
        </w:rPr>
        <w:t xml:space="preserve">The NRP needs to address disability related issues explicitly. So far, persons with disabilities are rarely mentioned in the NRP </w:t>
      </w:r>
      <w:r w:rsidR="00A90377" w:rsidRPr="00BA612C">
        <w:rPr>
          <w:lang w:eastAsia="en-GB"/>
        </w:rPr>
        <w:t xml:space="preserve">(still true for 2016) </w:t>
      </w:r>
      <w:r w:rsidRPr="00BA612C">
        <w:rPr>
          <w:lang w:eastAsia="en-GB"/>
        </w:rPr>
        <w:t>and are thus invisible as a s</w:t>
      </w:r>
      <w:r w:rsidR="007D66AF">
        <w:rPr>
          <w:lang w:eastAsia="en-GB"/>
        </w:rPr>
        <w:t>pecific target group. And, i</w:t>
      </w:r>
      <w:r w:rsidRPr="00BA612C">
        <w:rPr>
          <w:lang w:eastAsia="en-GB"/>
        </w:rPr>
        <w:t>n this context, the CSR</w:t>
      </w:r>
      <w:r w:rsidR="007D66AF">
        <w:rPr>
          <w:lang w:eastAsia="en-GB"/>
        </w:rPr>
        <w:t xml:space="preserve"> also</w:t>
      </w:r>
      <w:r w:rsidRPr="00BA612C">
        <w:rPr>
          <w:lang w:eastAsia="en-GB"/>
        </w:rPr>
        <w:t xml:space="preserve"> need to address this lack of reference to the situation of persons with disabilities in Austria. </w:t>
      </w:r>
    </w:p>
    <w:p w14:paraId="59C473B7" w14:textId="77777777" w:rsidR="0071575B" w:rsidRPr="00BA612C" w:rsidRDefault="0071575B" w:rsidP="002723EC">
      <w:pPr>
        <w:rPr>
          <w:lang w:eastAsia="en-GB"/>
        </w:rPr>
      </w:pPr>
    </w:p>
    <w:p w14:paraId="6BC5A332" w14:textId="3636DEF9" w:rsidR="0010423F" w:rsidRPr="00BA612C" w:rsidRDefault="0010423F" w:rsidP="002723EC">
      <w:pPr>
        <w:pStyle w:val="Heading2"/>
        <w:rPr>
          <w:szCs w:val="24"/>
        </w:rPr>
      </w:pPr>
      <w:bookmarkStart w:id="33" w:name="_Toc429999647"/>
      <w:bookmarkStart w:id="34" w:name="_Toc483400181"/>
      <w:r w:rsidRPr="00BA612C">
        <w:rPr>
          <w:szCs w:val="24"/>
        </w:rPr>
        <w:t>Employment</w:t>
      </w:r>
      <w:bookmarkEnd w:id="33"/>
      <w:bookmarkEnd w:id="34"/>
    </w:p>
    <w:p w14:paraId="1812B5BE" w14:textId="77777777" w:rsidR="0010423F" w:rsidRPr="00BA612C" w:rsidRDefault="0010423F" w:rsidP="002723EC"/>
    <w:p w14:paraId="65373F97" w14:textId="3BA6BF99" w:rsidR="00171A34" w:rsidRPr="00BA612C" w:rsidRDefault="00AB2F24" w:rsidP="002723EC">
      <w:r w:rsidRPr="00BA612C">
        <w:t>Regarding employment policies, t</w:t>
      </w:r>
      <w:r w:rsidR="004F1F4D" w:rsidRPr="00BA612C">
        <w:t>he NRP</w:t>
      </w:r>
      <w:r w:rsidR="00020CAA" w:rsidRPr="00BA612C">
        <w:t xml:space="preserve"> 2016</w:t>
      </w:r>
      <w:r w:rsidR="004F1F4D" w:rsidRPr="00BA612C">
        <w:t xml:space="preserve"> </w:t>
      </w:r>
      <w:r w:rsidR="00020CAA" w:rsidRPr="00BA612C">
        <w:t>does not focus explicitly on persons with disabilities</w:t>
      </w:r>
      <w:r w:rsidR="000526B8" w:rsidRPr="00BA612C">
        <w:t xml:space="preserve">. </w:t>
      </w:r>
      <w:r w:rsidR="004F1F4D" w:rsidRPr="00BA612C">
        <w:t>As a consequence</w:t>
      </w:r>
      <w:r w:rsidR="00AC2595" w:rsidRPr="00BA612C">
        <w:t>, no new measures or policies</w:t>
      </w:r>
      <w:r w:rsidR="00F145AE" w:rsidRPr="00BA612C">
        <w:t xml:space="preserve"> have</w:t>
      </w:r>
      <w:r w:rsidR="00AC2595" w:rsidRPr="00BA612C">
        <w:t xml:space="preserve"> </w:t>
      </w:r>
      <w:r w:rsidR="00041394" w:rsidRPr="00BA612C">
        <w:t>c</w:t>
      </w:r>
      <w:r w:rsidR="00F145AE" w:rsidRPr="00BA612C">
        <w:t>o</w:t>
      </w:r>
      <w:r w:rsidR="00041394" w:rsidRPr="00BA612C">
        <w:t xml:space="preserve">me into force which focus </w:t>
      </w:r>
      <w:r w:rsidR="00781BA5" w:rsidRPr="00BA612C">
        <w:t>explicit</w:t>
      </w:r>
      <w:r w:rsidR="00AC2595" w:rsidRPr="00BA612C">
        <w:t xml:space="preserve">ly </w:t>
      </w:r>
      <w:r w:rsidR="00041394" w:rsidRPr="00BA612C">
        <w:t>on the needs of</w:t>
      </w:r>
      <w:r w:rsidR="00AC2595" w:rsidRPr="00BA612C">
        <w:t xml:space="preserve"> persons with disabilit</w:t>
      </w:r>
      <w:r w:rsidR="006B09C9" w:rsidRPr="00BA612C">
        <w:t>i</w:t>
      </w:r>
      <w:r w:rsidR="00AC2595" w:rsidRPr="00BA612C">
        <w:t>es</w:t>
      </w:r>
      <w:r w:rsidR="00AA0C5A" w:rsidRPr="00BA612C">
        <w:t>.</w:t>
      </w:r>
      <w:r w:rsidR="00AC2595" w:rsidRPr="00BA612C">
        <w:t xml:space="preserve"> </w:t>
      </w:r>
      <w:r w:rsidR="00C43DC6" w:rsidRPr="00BA612C">
        <w:t xml:space="preserve">Instead, some measures are increasingly broadened to a larger target group, </w:t>
      </w:r>
      <w:r w:rsidR="00E60B42" w:rsidRPr="00BA612C">
        <w:t xml:space="preserve">entailing </w:t>
      </w:r>
      <w:r w:rsidR="007A289E" w:rsidRPr="00BA612C">
        <w:t xml:space="preserve">a </w:t>
      </w:r>
      <w:r w:rsidR="00581342" w:rsidRPr="00BA612C">
        <w:t xml:space="preserve">scattering of resources which should be used for fostering opportunities for persons with disabilities to get jobs and to stay employed. </w:t>
      </w:r>
      <w:r w:rsidR="00C056BB" w:rsidRPr="00BA612C">
        <w:t>Still t</w:t>
      </w:r>
      <w:r w:rsidR="00E10A28" w:rsidRPr="00BA612C">
        <w:t>r</w:t>
      </w:r>
      <w:r w:rsidR="00C056BB" w:rsidRPr="00BA612C">
        <w:t>u</w:t>
      </w:r>
      <w:r w:rsidR="00E10A28" w:rsidRPr="00BA612C">
        <w:t xml:space="preserve">e for 2016 (and </w:t>
      </w:r>
      <w:r w:rsidR="00DA6481" w:rsidRPr="00BA612C">
        <w:t>already discuss</w:t>
      </w:r>
      <w:r w:rsidR="00E10A28" w:rsidRPr="00BA612C">
        <w:t>ed in our 2015 report), c</w:t>
      </w:r>
      <w:r w:rsidR="00CA777C" w:rsidRPr="00BA612C">
        <w:t>urrent exampl</w:t>
      </w:r>
      <w:r w:rsidR="00756372" w:rsidRPr="00BA612C">
        <w:t>es are</w:t>
      </w:r>
      <w:r w:rsidR="00CA777C" w:rsidRPr="00BA612C">
        <w:t xml:space="preserve"> </w:t>
      </w:r>
      <w:r w:rsidR="00756372" w:rsidRPr="00BA612C">
        <w:t>y</w:t>
      </w:r>
      <w:r w:rsidR="00CA777C" w:rsidRPr="00BA612C">
        <w:t>outh</w:t>
      </w:r>
      <w:r w:rsidR="00756372" w:rsidRPr="00BA612C">
        <w:t xml:space="preserve"> c</w:t>
      </w:r>
      <w:r w:rsidR="00CA777C" w:rsidRPr="00BA612C">
        <w:t>oaching</w:t>
      </w:r>
      <w:r w:rsidR="00756372" w:rsidRPr="00BA612C">
        <w:t xml:space="preserve"> and production schools</w:t>
      </w:r>
      <w:r w:rsidR="00BF021F" w:rsidRPr="00BA612C">
        <w:t>,</w:t>
      </w:r>
      <w:r w:rsidR="00C056BB" w:rsidRPr="00BA612C">
        <w:rPr>
          <w:rStyle w:val="FootnoteReference"/>
        </w:rPr>
        <w:footnoteReference w:id="45"/>
      </w:r>
      <w:r w:rsidR="00CA777C" w:rsidRPr="00BA612C">
        <w:t xml:space="preserve"> that was originally only provided for young pe</w:t>
      </w:r>
      <w:r w:rsidR="002A1521" w:rsidRPr="00BA612C">
        <w:t>rsons</w:t>
      </w:r>
      <w:r w:rsidR="00CA777C" w:rsidRPr="00BA612C">
        <w:t xml:space="preserve"> with disabilities and ha</w:t>
      </w:r>
      <w:r w:rsidR="00E10A28" w:rsidRPr="00BA612C">
        <w:t>ve</w:t>
      </w:r>
      <w:r w:rsidR="00CA777C" w:rsidRPr="00BA612C">
        <w:t xml:space="preserve"> recently been broadened to all young p</w:t>
      </w:r>
      <w:r w:rsidR="00276841" w:rsidRPr="00BA612C">
        <w:t>ersons</w:t>
      </w:r>
      <w:r w:rsidR="00CA777C" w:rsidRPr="00BA612C">
        <w:t xml:space="preserve">. </w:t>
      </w:r>
      <w:r w:rsidR="00342409" w:rsidRPr="00BA612C">
        <w:t>Already mentioned in our 2015 report, t</w:t>
      </w:r>
      <w:r w:rsidR="00CA777C" w:rsidRPr="00BA612C">
        <w:t>he Austrian Disability Council was critical about this step and was worried that young pe</w:t>
      </w:r>
      <w:r w:rsidR="00932436" w:rsidRPr="00BA612C">
        <w:t>rsons</w:t>
      </w:r>
      <w:r w:rsidR="00CA777C" w:rsidRPr="00BA612C">
        <w:t xml:space="preserve"> with disabilities would no longer receive the specific support they need</w:t>
      </w:r>
      <w:r w:rsidR="00642C9A" w:rsidRPr="00BA612C">
        <w:t>.</w:t>
      </w:r>
      <w:r w:rsidR="000F335E" w:rsidRPr="00BA612C">
        <w:rPr>
          <w:rStyle w:val="FootnoteReference"/>
        </w:rPr>
        <w:footnoteReference w:id="46"/>
      </w:r>
    </w:p>
    <w:p w14:paraId="03268275" w14:textId="77777777" w:rsidR="002F43BE" w:rsidRPr="00BA612C" w:rsidRDefault="002F43BE" w:rsidP="002723EC"/>
    <w:p w14:paraId="0B4D9A14" w14:textId="4AA553E0" w:rsidR="002F43BE" w:rsidRPr="00BA612C" w:rsidRDefault="003C1455" w:rsidP="002723EC">
      <w:r w:rsidRPr="00BA612C">
        <w:t xml:space="preserve">NRP Annex 1 </w:t>
      </w:r>
      <w:r w:rsidR="00F70749" w:rsidRPr="00BA612C">
        <w:t xml:space="preserve">(on p. </w:t>
      </w:r>
      <w:r w:rsidR="0052636D" w:rsidRPr="00BA612C">
        <w:t xml:space="preserve">4/measure 3) </w:t>
      </w:r>
      <w:r w:rsidRPr="00BA612C">
        <w:t xml:space="preserve">and 2 </w:t>
      </w:r>
      <w:r w:rsidR="0052636D" w:rsidRPr="00BA612C">
        <w:t>(on p. 1</w:t>
      </w:r>
      <w:r w:rsidR="00A55180" w:rsidRPr="00BA612C">
        <w:t xml:space="preserve"> and p. 4</w:t>
      </w:r>
      <w:r w:rsidR="0052636D" w:rsidRPr="00BA612C">
        <w:t xml:space="preserve">/employment target) </w:t>
      </w:r>
      <w:r w:rsidRPr="00BA612C">
        <w:t xml:space="preserve">refer to persons with disabilities insofar as </w:t>
      </w:r>
      <w:r w:rsidR="00B53771" w:rsidRPr="00BA612C">
        <w:t xml:space="preserve">the disability pension new (Invaliditätspension Neu/IP-Neu) focuses on the principle of rehabilitation </w:t>
      </w:r>
      <w:r w:rsidR="00196F5B" w:rsidRPr="00BA612C">
        <w:t xml:space="preserve">and re-integration </w:t>
      </w:r>
      <w:r w:rsidR="00B53771" w:rsidRPr="00BA612C">
        <w:t>before pension.</w:t>
      </w:r>
      <w:r w:rsidR="00F7329A" w:rsidRPr="00BA612C">
        <w:rPr>
          <w:rStyle w:val="FootnoteReference"/>
        </w:rPr>
        <w:footnoteReference w:id="47"/>
      </w:r>
      <w:r w:rsidR="00B53771" w:rsidRPr="00BA612C">
        <w:t xml:space="preserve"> </w:t>
      </w:r>
      <w:r w:rsidR="00886335" w:rsidRPr="00BA612C">
        <w:t>Important to note here, this obviously does not refer to persons with disabilities</w:t>
      </w:r>
      <w:r w:rsidR="00B143E1" w:rsidRPr="00BA612C">
        <w:t xml:space="preserve"> who </w:t>
      </w:r>
      <w:r w:rsidR="004219C7" w:rsidRPr="00BA612C">
        <w:t xml:space="preserve">have </w:t>
      </w:r>
      <w:r w:rsidR="00B143E1" w:rsidRPr="00BA612C">
        <w:t xml:space="preserve">not </w:t>
      </w:r>
      <w:r w:rsidR="00B67EEC" w:rsidRPr="00BA612C">
        <w:t>yet enter</w:t>
      </w:r>
      <w:r w:rsidR="004219C7" w:rsidRPr="00BA612C">
        <w:t>ed</w:t>
      </w:r>
      <w:r w:rsidR="00B67EEC" w:rsidRPr="00BA612C">
        <w:t xml:space="preserve"> the labour market</w:t>
      </w:r>
      <w:r w:rsidR="004219C7" w:rsidRPr="00BA612C">
        <w:t xml:space="preserve">. Thus, </w:t>
      </w:r>
      <w:r w:rsidR="00914AE1" w:rsidRPr="00BA612C">
        <w:t>a large group of persons</w:t>
      </w:r>
      <w:r w:rsidR="004219C7" w:rsidRPr="00BA612C">
        <w:t xml:space="preserve"> with disabilities is excluded</w:t>
      </w:r>
      <w:r w:rsidR="00886335" w:rsidRPr="00BA612C">
        <w:t xml:space="preserve">. </w:t>
      </w:r>
      <w:r w:rsidR="004219C7" w:rsidRPr="00BA612C">
        <w:t>T</w:t>
      </w:r>
      <w:r w:rsidR="007D573D" w:rsidRPr="00BA612C">
        <w:t>he concept of employability which is addressed in Annex 1 and 2, does only refer to persons with disabilities</w:t>
      </w:r>
      <w:r w:rsidR="00C33423" w:rsidRPr="00BA612C">
        <w:t xml:space="preserve"> who have already been part of the labour market. </w:t>
      </w:r>
    </w:p>
    <w:p w14:paraId="2C0BE315" w14:textId="77777777" w:rsidR="002F43BE" w:rsidRPr="00BA612C" w:rsidRDefault="002F43BE" w:rsidP="002723EC"/>
    <w:p w14:paraId="2E29DF06" w14:textId="558C23D3" w:rsidR="00FA1E06" w:rsidRPr="00BA612C" w:rsidRDefault="00FA1E06" w:rsidP="002723EC">
      <w:r w:rsidRPr="00BA612C">
        <w:t>It is to question if the policy change with regard to invalidity pension has the targeted effects (staying in the labour market instead of early retirement). Data published in November 2015 indicate that the effect of the reform of invalidity pension in Austria is disappointing. Considering the implementation for the first 20 months, only very few people actually returned to employment or received alternative vocational training.</w:t>
      </w:r>
      <w:r w:rsidRPr="00BA612C">
        <w:rPr>
          <w:vertAlign w:val="superscript"/>
        </w:rPr>
        <w:footnoteReference w:id="48"/>
      </w:r>
      <w:r w:rsidR="00BF021F" w:rsidRPr="00BA612C">
        <w:t xml:space="preserve"> </w:t>
      </w:r>
      <w:r w:rsidR="007D66AF">
        <w:t>Only 0.</w:t>
      </w:r>
      <w:r w:rsidRPr="00BA612C">
        <w:t>51% of those who receive rehabilitation benefi</w:t>
      </w:r>
      <w:r w:rsidR="007D66AF">
        <w:t>t started a training and only 4.</w:t>
      </w:r>
      <w:r w:rsidRPr="00BA612C">
        <w:t xml:space="preserve">18% received specific medical rehabilitation measures. For all other (more than 95%) the recommendation was to wait and observe (own calculation). There are no new or re-conceptualised measures to improve working conditions for persons with disabilities or health problems. </w:t>
      </w:r>
    </w:p>
    <w:p w14:paraId="175DC199" w14:textId="77777777" w:rsidR="00FA1E06" w:rsidRPr="00BA612C" w:rsidRDefault="00FA1E06" w:rsidP="002723EC"/>
    <w:p w14:paraId="48384DCD" w14:textId="42D707EE" w:rsidR="00FA1E06" w:rsidRPr="00BA612C" w:rsidRDefault="00FA1E06" w:rsidP="002723EC">
      <w:r w:rsidRPr="00BA612C">
        <w:t>In 2015, there wa</w:t>
      </w:r>
      <w:r w:rsidR="009D5C07" w:rsidRPr="00BA612C">
        <w:t>s</w:t>
      </w:r>
      <w:r w:rsidRPr="00BA612C">
        <w:t xml:space="preserve"> a significantly high increase of </w:t>
      </w:r>
      <w:r w:rsidR="00C03E36" w:rsidRPr="00BA612C">
        <w:t xml:space="preserve">unemployed </w:t>
      </w:r>
      <w:r w:rsidRPr="00BA612C">
        <w:t>persons with disabil</w:t>
      </w:r>
      <w:r w:rsidR="007D66AF">
        <w:t>ities older than 45 years: +14.9% compared to +3.</w:t>
      </w:r>
      <w:r w:rsidRPr="00BA612C">
        <w:t>2% among young persons with disabilities; the increase is</w:t>
      </w:r>
      <w:r w:rsidR="007D66AF">
        <w:t xml:space="preserve"> higher among older women: +18.6% compared to +12.</w:t>
      </w:r>
      <w:r w:rsidRPr="00BA612C">
        <w:t>8% among men with health problems.</w:t>
      </w:r>
      <w:r w:rsidRPr="00BA612C">
        <w:rPr>
          <w:vertAlign w:val="superscript"/>
        </w:rPr>
        <w:footnoteReference w:id="49"/>
      </w:r>
      <w:r w:rsidRPr="00BA612C">
        <w:t xml:space="preserve"> It can be assumed that this is directly linked to the change from invalidity pension to rehabilitation benefit. Thus, the actual effect of the invalidity pension reform that can currently be observed is not employment but rather long</w:t>
      </w:r>
      <w:r w:rsidR="00C61A1F" w:rsidRPr="00BA612C">
        <w:t>-</w:t>
      </w:r>
      <w:r w:rsidRPr="00BA612C">
        <w:t>term unemployment.</w:t>
      </w:r>
    </w:p>
    <w:p w14:paraId="330D9A73" w14:textId="77777777" w:rsidR="00FA1E06" w:rsidRPr="00BA612C" w:rsidRDefault="00FA1E06" w:rsidP="002723EC"/>
    <w:p w14:paraId="0887E710" w14:textId="544C46D1" w:rsidR="00560835" w:rsidRPr="00BA612C" w:rsidRDefault="00560835" w:rsidP="002723EC">
      <w:r w:rsidRPr="00BA612C">
        <w:t xml:space="preserve">A recent study shows that persons with psycho-social disabilities constitute the main group who receives rehabilitation-benefit or limited invalidity pension: </w:t>
      </w:r>
      <w:r w:rsidR="009C52C5" w:rsidRPr="00BA612C">
        <w:t xml:space="preserve">In 2015, 69% of all women and 57% of all men who received rehabilitation benefit or limited invalidity pension had a psychosocial disability. Compared to Denmark and Switzerland, this rate is significantly higher. Also, unemployment among persons with psychosocial problems is high in Austria compared to other countries. There is a profound lack of data on persons with psychosocial disabilities in Austria, also assessment is not according to international </w:t>
      </w:r>
      <w:r w:rsidR="001F0F49" w:rsidRPr="00BA612C">
        <w:t>standards</w:t>
      </w:r>
      <w:r w:rsidR="009C52C5" w:rsidRPr="00BA612C">
        <w:t>. Measures taken are not evaluated. The authors recommend a bunch of measures with regard to improve the assessment and health care for persons with psychosocial disabilities as well as measures at the workplace to adapt to employees with psychosocial disabilities.</w:t>
      </w:r>
      <w:r w:rsidR="009C52C5" w:rsidRPr="00BA612C">
        <w:rPr>
          <w:rStyle w:val="FootnoteReference"/>
        </w:rPr>
        <w:footnoteReference w:id="50"/>
      </w:r>
      <w:r w:rsidR="009C52C5" w:rsidRPr="00BA612C">
        <w:t xml:space="preserve"> </w:t>
      </w:r>
    </w:p>
    <w:p w14:paraId="6F908C99" w14:textId="77777777" w:rsidR="00FA1E06" w:rsidRPr="00BA612C" w:rsidRDefault="00FA1E06" w:rsidP="002723EC"/>
    <w:p w14:paraId="4853ECB5" w14:textId="7C9ED52F" w:rsidR="0011673C" w:rsidRPr="00BA612C" w:rsidRDefault="002E4CB9" w:rsidP="002723EC">
      <w:pPr>
        <w:rPr>
          <w:lang w:eastAsia="en-GB"/>
        </w:rPr>
      </w:pPr>
      <w:r w:rsidRPr="00BA612C">
        <w:t>As</w:t>
      </w:r>
      <w:r w:rsidR="002F43BE" w:rsidRPr="00BA612C">
        <w:t xml:space="preserve"> mentioned in our 2015 report, it would be necessary to </w:t>
      </w:r>
      <w:r w:rsidR="004219C7" w:rsidRPr="00BA612C">
        <w:t xml:space="preserve">profoundly </w:t>
      </w:r>
      <w:r w:rsidR="002F43BE" w:rsidRPr="00BA612C">
        <w:t>analyse the significant increase in unemployment of persons with disabilities</w:t>
      </w:r>
      <w:r w:rsidR="004219C7" w:rsidRPr="00BA612C">
        <w:t xml:space="preserve"> to develop more targeted policies</w:t>
      </w:r>
      <w:r w:rsidR="002F43BE" w:rsidRPr="00BA612C">
        <w:t>.</w:t>
      </w:r>
      <w:r w:rsidR="002F43BE" w:rsidRPr="00BA612C">
        <w:rPr>
          <w:lang w:eastAsia="en-GB"/>
        </w:rPr>
        <w:t xml:space="preserve"> </w:t>
      </w:r>
      <w:r w:rsidR="00871A17" w:rsidRPr="00BA612C">
        <w:rPr>
          <w:lang w:eastAsia="en-GB"/>
        </w:rPr>
        <w:t>The significant increase of unemployment among persons with disabilities (in relation to persons without disabilities) in 2015 quite clearly indicates that currently applied measures and policies are insufficiently addressing the needs of persons with disabilities in the context of an education system that does not prepare persons with disabilities for a life in the first labour market.</w:t>
      </w:r>
    </w:p>
    <w:p w14:paraId="3943EAF6" w14:textId="77777777" w:rsidR="0011673C" w:rsidRPr="00BA612C" w:rsidRDefault="0011673C" w:rsidP="002723EC">
      <w:pPr>
        <w:rPr>
          <w:lang w:eastAsia="en-GB"/>
        </w:rPr>
      </w:pPr>
    </w:p>
    <w:p w14:paraId="0666DCC8" w14:textId="5969AE47" w:rsidR="00871A17" w:rsidRPr="00BA612C" w:rsidRDefault="00871A17" w:rsidP="002723EC">
      <w:pPr>
        <w:rPr>
          <w:lang w:eastAsia="en-GB"/>
        </w:rPr>
      </w:pPr>
      <w:r w:rsidRPr="00BA612C">
        <w:rPr>
          <w:lang w:eastAsia="en-GB"/>
        </w:rPr>
        <w:t>In a press release the Attorney for Persons with Disabilities confirmed this assessment. He said that “neither the Public Employment Service nor the Federal Social Office pay enough attention to persons with disabilities. (….) This group (….) is not considered a distinct target group with specific targets and resources.”</w:t>
      </w:r>
      <w:r w:rsidR="004949BE" w:rsidRPr="00BA612C">
        <w:rPr>
          <w:rStyle w:val="FootnoteReference"/>
          <w:lang w:eastAsia="en-GB"/>
        </w:rPr>
        <w:footnoteReference w:id="51"/>
      </w:r>
    </w:p>
    <w:p w14:paraId="6CEF8380" w14:textId="77777777" w:rsidR="00871A17" w:rsidRPr="00BA612C" w:rsidRDefault="00871A17" w:rsidP="002723EC">
      <w:pPr>
        <w:rPr>
          <w:lang w:eastAsia="en-GB"/>
        </w:rPr>
      </w:pPr>
    </w:p>
    <w:p w14:paraId="09800BC8" w14:textId="5E7B4F00" w:rsidR="002F43BE" w:rsidRPr="00BA612C" w:rsidRDefault="004219C7" w:rsidP="002723EC">
      <w:pPr>
        <w:rPr>
          <w:lang w:eastAsia="en-GB"/>
        </w:rPr>
      </w:pPr>
      <w:r w:rsidRPr="00BA612C">
        <w:rPr>
          <w:lang w:eastAsia="en-GB"/>
        </w:rPr>
        <w:t>Furthermore, p</w:t>
      </w:r>
      <w:r w:rsidR="002F43BE" w:rsidRPr="00BA612C">
        <w:rPr>
          <w:lang w:eastAsia="en-GB"/>
        </w:rPr>
        <w:t>ersons in sheltered workshops should be included in programmes and policies of the general labour market.</w:t>
      </w:r>
      <w:r w:rsidR="002D1F1D" w:rsidRPr="00BA612C">
        <w:rPr>
          <w:lang w:eastAsia="en-GB"/>
        </w:rPr>
        <w:t xml:space="preserve"> </w:t>
      </w:r>
      <w:r w:rsidR="00AF781F" w:rsidRPr="00BA612C">
        <w:t>I</w:t>
      </w:r>
      <w:r w:rsidR="00307954" w:rsidRPr="00BA612C">
        <w:t>n this context, i</w:t>
      </w:r>
      <w:r w:rsidR="00AF781F" w:rsidRPr="00BA612C">
        <w:t xml:space="preserve">t is important to mention that persons with disabilities who are in sheltered workshops, which are the responsibility of the nine Laender, are not included in any labour market or labour force data. </w:t>
      </w:r>
      <w:r w:rsidR="002D1F1D" w:rsidRPr="00BA612C">
        <w:rPr>
          <w:lang w:eastAsia="en-GB"/>
        </w:rPr>
        <w:t>The situation of persons with disabilities in sheltered workshops has been repeatedly criticised by the Austrian Ombudsman Board which described it as not according to human rights standards. In its report on 2015, the Ombudsman Board confirms this critique and states that the Austrian government both on federal as well as on the Laender level has not taken any effective measure so far</w:t>
      </w:r>
      <w:r w:rsidR="00871A17" w:rsidRPr="00BA612C">
        <w:rPr>
          <w:lang w:eastAsia="en-GB"/>
        </w:rPr>
        <w:t xml:space="preserve"> to change this situation</w:t>
      </w:r>
      <w:r w:rsidR="002D1F1D" w:rsidRPr="00BA612C">
        <w:rPr>
          <w:lang w:eastAsia="en-GB"/>
        </w:rPr>
        <w:t>.</w:t>
      </w:r>
      <w:r w:rsidR="002D1F1D" w:rsidRPr="00BA612C">
        <w:rPr>
          <w:rStyle w:val="FootnoteReference"/>
          <w:lang w:eastAsia="en-GB"/>
        </w:rPr>
        <w:footnoteReference w:id="52"/>
      </w:r>
      <w:r w:rsidR="002D1F1D" w:rsidRPr="00BA612C">
        <w:rPr>
          <w:lang w:eastAsia="en-GB"/>
        </w:rPr>
        <w:t xml:space="preserve"> </w:t>
      </w:r>
    </w:p>
    <w:p w14:paraId="0342EB34" w14:textId="446FA564" w:rsidR="00171A34" w:rsidRPr="00BA612C" w:rsidRDefault="00171A34" w:rsidP="002723EC"/>
    <w:p w14:paraId="1A77674A" w14:textId="0A349755" w:rsidR="0010423F" w:rsidRPr="00BA612C" w:rsidRDefault="0010423F" w:rsidP="002723EC">
      <w:pPr>
        <w:pStyle w:val="Heading2"/>
        <w:rPr>
          <w:szCs w:val="24"/>
        </w:rPr>
      </w:pPr>
      <w:bookmarkStart w:id="35" w:name="_Toc429999648"/>
      <w:bookmarkStart w:id="36" w:name="_Toc483400182"/>
      <w:r w:rsidRPr="00BA612C">
        <w:rPr>
          <w:szCs w:val="24"/>
        </w:rPr>
        <w:t>Education</w:t>
      </w:r>
      <w:bookmarkEnd w:id="35"/>
      <w:bookmarkEnd w:id="36"/>
    </w:p>
    <w:p w14:paraId="71C2338F" w14:textId="77777777" w:rsidR="0010423F" w:rsidRPr="00BA612C" w:rsidRDefault="0010423F" w:rsidP="002723EC"/>
    <w:p w14:paraId="575FEF38" w14:textId="77777777" w:rsidR="009C796F" w:rsidRPr="00BA612C" w:rsidRDefault="009C796F" w:rsidP="002723EC">
      <w:r w:rsidRPr="00BA612C">
        <w:t>The Austrian education system is rather segregating. Many children with disabilities attend special schools with the negative effect of a low educational attainment and a lifelong disadvantage on the labour market. In line with the CRPD, Austria should stop building special schools. In addition, a truly inclusive education (not just renaming the old system) system has to be developed. Recently, there has been a major focus on pupils with migration-background. Data on persons with migration-background and their educational achievements has been collected widely, but there is no systematic research on children and young people with disabilities in the Austrian education system.</w:t>
      </w:r>
    </w:p>
    <w:p w14:paraId="16691ED3" w14:textId="77777777" w:rsidR="009C796F" w:rsidRPr="00BA612C" w:rsidRDefault="009C796F" w:rsidP="002723EC"/>
    <w:p w14:paraId="4DBF70E2" w14:textId="2DAC44C0" w:rsidR="001E4166" w:rsidRPr="00BA612C" w:rsidRDefault="002E4CB9" w:rsidP="002723EC">
      <w:r w:rsidRPr="00BA612C">
        <w:t>The 2016</w:t>
      </w:r>
      <w:r w:rsidR="001974CF" w:rsidRPr="00BA612C">
        <w:t xml:space="preserve"> NRP mentions </w:t>
      </w:r>
      <w:r w:rsidR="00250BDF" w:rsidRPr="00BA612C">
        <w:t xml:space="preserve">the </w:t>
      </w:r>
      <w:r w:rsidR="001974CF" w:rsidRPr="00BA612C">
        <w:t>two measures to support young pe</w:t>
      </w:r>
      <w:r w:rsidR="00444E64" w:rsidRPr="00BA612C">
        <w:t>rsons</w:t>
      </w:r>
      <w:r w:rsidR="001974CF" w:rsidRPr="00BA612C">
        <w:t xml:space="preserve"> in the transition from compulsory school to higher education or vocational training</w:t>
      </w:r>
      <w:r w:rsidR="00906A68" w:rsidRPr="00BA612C">
        <w:t xml:space="preserve"> and to </w:t>
      </w:r>
      <w:r w:rsidR="00F145AE" w:rsidRPr="00BA612C">
        <w:t>combat</w:t>
      </w:r>
      <w:r w:rsidR="00906A68" w:rsidRPr="00BA612C">
        <w:t xml:space="preserve"> early school leaving</w:t>
      </w:r>
      <w:r w:rsidR="001974CF" w:rsidRPr="00BA612C">
        <w:t>: Youth</w:t>
      </w:r>
      <w:r w:rsidR="002D19F2" w:rsidRPr="00BA612C">
        <w:t xml:space="preserve"> c</w:t>
      </w:r>
      <w:r w:rsidR="001974CF" w:rsidRPr="00BA612C">
        <w:t>oaching and so</w:t>
      </w:r>
      <w:r w:rsidRPr="00BA612C">
        <w:t>-</w:t>
      </w:r>
      <w:r w:rsidR="001974CF" w:rsidRPr="00BA612C">
        <w:t xml:space="preserve">called </w:t>
      </w:r>
      <w:r w:rsidR="002D19F2" w:rsidRPr="00BA612C">
        <w:t>p</w:t>
      </w:r>
      <w:r w:rsidR="001974CF" w:rsidRPr="00BA612C">
        <w:t>roduction</w:t>
      </w:r>
      <w:r w:rsidR="00F145AE" w:rsidRPr="00BA612C">
        <w:t xml:space="preserve"> </w:t>
      </w:r>
      <w:r w:rsidR="002D19F2" w:rsidRPr="00BA612C">
        <w:t>s</w:t>
      </w:r>
      <w:r w:rsidR="001974CF" w:rsidRPr="00BA612C">
        <w:t>chools</w:t>
      </w:r>
      <w:r w:rsidR="004D2173" w:rsidRPr="00BA612C">
        <w:t xml:space="preserve"> (both measures are co-funded by ESF and </w:t>
      </w:r>
      <w:r w:rsidR="004219C7" w:rsidRPr="00BA612C">
        <w:t xml:space="preserve">comprehensively described and </w:t>
      </w:r>
      <w:r w:rsidR="004D2173" w:rsidRPr="00BA612C">
        <w:t>discussed in our 2015 report)</w:t>
      </w:r>
      <w:r w:rsidR="001974CF" w:rsidRPr="00BA612C">
        <w:t>. Although pe</w:t>
      </w:r>
      <w:r w:rsidR="000D59F2" w:rsidRPr="00BA612C">
        <w:t>rsons</w:t>
      </w:r>
      <w:r w:rsidR="001974CF" w:rsidRPr="00BA612C">
        <w:t xml:space="preserve"> with disabilities are not mentioned as </w:t>
      </w:r>
      <w:r w:rsidR="00906A68" w:rsidRPr="00BA612C">
        <w:t>a distinc</w:t>
      </w:r>
      <w:r w:rsidR="001974CF" w:rsidRPr="00BA612C">
        <w:t>t target group, the</w:t>
      </w:r>
      <w:r w:rsidR="00906A68" w:rsidRPr="00BA612C">
        <w:t>y</w:t>
      </w:r>
      <w:r w:rsidR="001974CF" w:rsidRPr="00BA612C">
        <w:t xml:space="preserve"> constitute a large number of the participants. </w:t>
      </w:r>
      <w:r w:rsidR="00906A68" w:rsidRPr="00BA612C">
        <w:t xml:space="preserve">With regard to the Austrian education system, the main critique is that both </w:t>
      </w:r>
      <w:r w:rsidR="00314737" w:rsidRPr="00BA612C">
        <w:t>y</w:t>
      </w:r>
      <w:r w:rsidR="00906A68" w:rsidRPr="00BA612C">
        <w:t>outh</w:t>
      </w:r>
      <w:r w:rsidR="00314737" w:rsidRPr="00BA612C">
        <w:t xml:space="preserve"> c</w:t>
      </w:r>
      <w:r w:rsidR="00906A68" w:rsidRPr="00BA612C">
        <w:t xml:space="preserve">oaching and </w:t>
      </w:r>
      <w:r w:rsidR="00314737" w:rsidRPr="00BA612C">
        <w:t>p</w:t>
      </w:r>
      <w:r w:rsidR="00906A68" w:rsidRPr="00BA612C">
        <w:t>roduction</w:t>
      </w:r>
      <w:r w:rsidR="00F145AE" w:rsidRPr="00BA612C">
        <w:t xml:space="preserve"> </w:t>
      </w:r>
      <w:r w:rsidR="00906A68" w:rsidRPr="00BA612C">
        <w:t xml:space="preserve">schools </w:t>
      </w:r>
      <w:r w:rsidR="002A610A" w:rsidRPr="00BA612C">
        <w:t xml:space="preserve">are </w:t>
      </w:r>
      <w:r w:rsidR="00906A68" w:rsidRPr="00BA612C">
        <w:t>additional measures that are not part of the education system. Thus, they may only compensate for failures of the education system but do not actually change or improve it. Both measures discriminate</w:t>
      </w:r>
      <w:r w:rsidR="00F145AE" w:rsidRPr="00BA612C">
        <w:t xml:space="preserve"> against</w:t>
      </w:r>
      <w:r w:rsidR="00906A68" w:rsidRPr="00BA612C">
        <w:t xml:space="preserve"> young pe</w:t>
      </w:r>
      <w:r w:rsidR="00B2510E" w:rsidRPr="00BA612C">
        <w:t xml:space="preserve">rsons </w:t>
      </w:r>
      <w:r w:rsidR="00906A68" w:rsidRPr="00BA612C">
        <w:t xml:space="preserve">with severe or multiple disabilities: One result of </w:t>
      </w:r>
      <w:r w:rsidR="007C2095" w:rsidRPr="00BA612C">
        <w:t>y</w:t>
      </w:r>
      <w:r w:rsidR="00906A68" w:rsidRPr="00BA612C">
        <w:t>o</w:t>
      </w:r>
      <w:r w:rsidR="00A7258F" w:rsidRPr="00BA612C">
        <w:t>u</w:t>
      </w:r>
      <w:r w:rsidR="00906A68" w:rsidRPr="00BA612C">
        <w:t>th</w:t>
      </w:r>
      <w:r w:rsidR="007C2095" w:rsidRPr="00BA612C">
        <w:t xml:space="preserve"> c</w:t>
      </w:r>
      <w:r w:rsidR="00906A68" w:rsidRPr="00BA612C">
        <w:t xml:space="preserve">oaching may be the proposal to attend a sheltered workshop, </w:t>
      </w:r>
      <w:r w:rsidR="00A871F9" w:rsidRPr="00BA612C">
        <w:t>p</w:t>
      </w:r>
      <w:r w:rsidR="00906A68" w:rsidRPr="00BA612C">
        <w:t>roduction</w:t>
      </w:r>
      <w:r w:rsidR="00F145AE" w:rsidRPr="00BA612C">
        <w:t xml:space="preserve"> </w:t>
      </w:r>
      <w:r w:rsidR="00906A68" w:rsidRPr="00BA612C">
        <w:t>schools explicitly exclude young pe</w:t>
      </w:r>
      <w:r w:rsidR="004A453D" w:rsidRPr="00BA612C">
        <w:t>rsons</w:t>
      </w:r>
      <w:r w:rsidR="00906A68" w:rsidRPr="00BA612C">
        <w:t xml:space="preserve"> with severe or multiple disabilities as well as thos</w:t>
      </w:r>
      <w:r w:rsidR="004A453D" w:rsidRPr="00BA612C">
        <w:t>e</w:t>
      </w:r>
      <w:r w:rsidR="00906A68" w:rsidRPr="00BA612C">
        <w:t xml:space="preserve"> with acute psychosocial disorders. </w:t>
      </w:r>
    </w:p>
    <w:p w14:paraId="2AE2A210" w14:textId="77777777" w:rsidR="00152861" w:rsidRPr="00BA612C" w:rsidRDefault="00152861" w:rsidP="002723EC"/>
    <w:p w14:paraId="214EA00D" w14:textId="5EE97C48" w:rsidR="00152861" w:rsidRPr="00BA612C" w:rsidRDefault="002E4CB9" w:rsidP="002723EC">
      <w:r w:rsidRPr="00BA612C">
        <w:t>With</w:t>
      </w:r>
      <w:r w:rsidR="00152861" w:rsidRPr="00BA612C">
        <w:t xml:space="preserve"> regard to education policies for persons with disabilities, </w:t>
      </w:r>
      <w:r w:rsidR="00BD7991" w:rsidRPr="00BA612C">
        <w:t xml:space="preserve">the </w:t>
      </w:r>
      <w:r w:rsidR="008A0EFF" w:rsidRPr="00BA612C">
        <w:t xml:space="preserve">NRP Annex 1 mentions on p. 20 </w:t>
      </w:r>
      <w:r w:rsidR="00BD7991" w:rsidRPr="00BA612C">
        <w:t>under the heading of measure 14 (</w:t>
      </w:r>
      <w:r w:rsidR="00B43892" w:rsidRPr="00BA612C">
        <w:t xml:space="preserve">Improve and implement an inclusive school system) that </w:t>
      </w:r>
      <w:r w:rsidR="00862A9E" w:rsidRPr="00BA612C">
        <w:t>a</w:t>
      </w:r>
      <w:r w:rsidR="004219C7" w:rsidRPr="00BA612C">
        <w:t>n</w:t>
      </w:r>
      <w:r w:rsidR="00862A9E" w:rsidRPr="00BA612C">
        <w:t xml:space="preserve"> ongoing participatory dialogue </w:t>
      </w:r>
      <w:r w:rsidR="004219C7" w:rsidRPr="00BA612C">
        <w:t xml:space="preserve">is </w:t>
      </w:r>
      <w:r w:rsidR="00862A9E" w:rsidRPr="00BA612C">
        <w:t>tak</w:t>
      </w:r>
      <w:r w:rsidR="004219C7" w:rsidRPr="00BA612C">
        <w:t xml:space="preserve">ing </w:t>
      </w:r>
      <w:r w:rsidR="00862A9E" w:rsidRPr="00BA612C">
        <w:t xml:space="preserve">place to </w:t>
      </w:r>
      <w:r w:rsidR="001B4FEC" w:rsidRPr="00BA612C">
        <w:t xml:space="preserve">develop a detailed concept of inclusive </w:t>
      </w:r>
      <w:r w:rsidR="007C5CBB" w:rsidRPr="00BA612C">
        <w:t>regions</w:t>
      </w:r>
      <w:r w:rsidR="001B4FEC" w:rsidRPr="00BA612C">
        <w:t>.</w:t>
      </w:r>
      <w:r w:rsidR="00E50ADE" w:rsidRPr="00BA612C">
        <w:t xml:space="preserve"> It has to be </w:t>
      </w:r>
      <w:r w:rsidR="008D3272" w:rsidRPr="00BA612C">
        <w:t xml:space="preserve">noted that this dialogue consisted of only </w:t>
      </w:r>
      <w:r w:rsidR="004219C7" w:rsidRPr="00BA612C">
        <w:t xml:space="preserve">a </w:t>
      </w:r>
      <w:r w:rsidR="008D3272" w:rsidRPr="00BA612C">
        <w:t>few round tables involving different stakeholders</w:t>
      </w:r>
      <w:r w:rsidR="00533E64" w:rsidRPr="00BA612C">
        <w:t xml:space="preserve"> which took place in the Austrian Federal M</w:t>
      </w:r>
      <w:r w:rsidR="001857BE" w:rsidRPr="00BA612C">
        <w:t>inistry</w:t>
      </w:r>
      <w:r w:rsidR="00533E64" w:rsidRPr="00BA612C">
        <w:t xml:space="preserve"> of Education</w:t>
      </w:r>
      <w:r w:rsidR="004219C7" w:rsidRPr="00BA612C">
        <w:t xml:space="preserve">. It is neither ongoing nor </w:t>
      </w:r>
      <w:r w:rsidR="005F37F9" w:rsidRPr="00BA612C">
        <w:t>s</w:t>
      </w:r>
      <w:r w:rsidR="006721F7" w:rsidRPr="00BA612C">
        <w:t>us</w:t>
      </w:r>
      <w:r w:rsidR="005F37F9" w:rsidRPr="00BA612C">
        <w:t>t</w:t>
      </w:r>
      <w:r w:rsidR="006721F7" w:rsidRPr="00BA612C">
        <w:t>a</w:t>
      </w:r>
      <w:r w:rsidR="005F37F9" w:rsidRPr="00BA612C">
        <w:t>inable</w:t>
      </w:r>
      <w:r w:rsidR="00274D03" w:rsidRPr="00BA612C">
        <w:t>.</w:t>
      </w:r>
      <w:r w:rsidR="001B4FEC" w:rsidRPr="00BA612C">
        <w:t xml:space="preserve"> </w:t>
      </w:r>
    </w:p>
    <w:p w14:paraId="5A5285BB" w14:textId="77777777" w:rsidR="0010423F" w:rsidRPr="00BA612C" w:rsidRDefault="0010423F" w:rsidP="002723EC"/>
    <w:p w14:paraId="2AE145D4" w14:textId="6B1D782C" w:rsidR="0010423F" w:rsidRPr="00BA612C" w:rsidRDefault="0010423F" w:rsidP="002723EC">
      <w:pPr>
        <w:pStyle w:val="Heading2"/>
        <w:rPr>
          <w:szCs w:val="24"/>
        </w:rPr>
      </w:pPr>
      <w:bookmarkStart w:id="37" w:name="_Toc429999649"/>
      <w:bookmarkStart w:id="38" w:name="_Toc483400183"/>
      <w:r w:rsidRPr="00BA612C">
        <w:rPr>
          <w:szCs w:val="24"/>
        </w:rPr>
        <w:t>Poverty and social inclusion</w:t>
      </w:r>
      <w:bookmarkEnd w:id="37"/>
      <w:bookmarkEnd w:id="38"/>
    </w:p>
    <w:p w14:paraId="1F40A943" w14:textId="77777777" w:rsidR="0010423F" w:rsidRPr="00BA612C" w:rsidRDefault="0010423F" w:rsidP="002723EC"/>
    <w:p w14:paraId="24FCDCD2" w14:textId="7012C510" w:rsidR="00FF67CF" w:rsidRPr="00BA612C" w:rsidRDefault="00AC2FF2" w:rsidP="002723EC">
      <w:r w:rsidRPr="00BA612C">
        <w:t>Chapter 4.5. (Poverty and social exclusion) of the 201</w:t>
      </w:r>
      <w:r w:rsidR="00B1347A" w:rsidRPr="00BA612C">
        <w:t>6</w:t>
      </w:r>
      <w:r w:rsidRPr="00BA612C">
        <w:t xml:space="preserve"> NRP</w:t>
      </w:r>
      <w:r w:rsidR="00BF4F83" w:rsidRPr="00BA612C">
        <w:rPr>
          <w:rStyle w:val="FootnoteReference"/>
        </w:rPr>
        <w:footnoteReference w:id="53"/>
      </w:r>
      <w:r w:rsidRPr="00BA612C">
        <w:t xml:space="preserve"> </w:t>
      </w:r>
      <w:r w:rsidR="001F0F49" w:rsidRPr="00BA612C">
        <w:t xml:space="preserve">mentions </w:t>
      </w:r>
      <w:r w:rsidR="00FF67CF" w:rsidRPr="00BA612C">
        <w:t xml:space="preserve">the </w:t>
      </w:r>
      <w:r w:rsidR="0030432A" w:rsidRPr="00BA612C">
        <w:t>increas</w:t>
      </w:r>
      <w:r w:rsidR="00FF67CF" w:rsidRPr="00BA612C">
        <w:t>e of the supplement to the family allowance for children with disabilities.</w:t>
      </w:r>
      <w:r w:rsidR="006464CE" w:rsidRPr="00BA612C">
        <w:t xml:space="preserve"> </w:t>
      </w:r>
      <w:r w:rsidR="00FF67CF" w:rsidRPr="00BA612C">
        <w:t xml:space="preserve">This is an important step, however, as the family allowance is not indexed-linked on a regular basis it must be considered a necessary adjustment not a new or profound measure to reduce poverty among families with a disabled child. </w:t>
      </w:r>
    </w:p>
    <w:p w14:paraId="68FF042B" w14:textId="77777777" w:rsidR="00FF67CF" w:rsidRPr="00BA612C" w:rsidRDefault="00FF67CF" w:rsidP="002723EC"/>
    <w:p w14:paraId="1BE9080E" w14:textId="13B02EC5" w:rsidR="008B7F62" w:rsidRPr="00BA612C" w:rsidRDefault="00E5084D" w:rsidP="002723EC">
      <w:r w:rsidRPr="00BA612C">
        <w:t xml:space="preserve"> </w:t>
      </w:r>
      <w:r w:rsidR="008B7F62" w:rsidRPr="00BA612C">
        <w:t>Regarding policies to reduce poverty</w:t>
      </w:r>
      <w:r w:rsidR="0081059C" w:rsidRPr="00BA612C">
        <w:t>,</w:t>
      </w:r>
      <w:r w:rsidR="002754A2" w:rsidRPr="00BA612C">
        <w:t xml:space="preserve"> (identified ri</w:t>
      </w:r>
      <w:r w:rsidR="0080444B" w:rsidRPr="00BA612C">
        <w:t>sk factors that are mentioned are</w:t>
      </w:r>
      <w:r w:rsidR="002754A2" w:rsidRPr="00BA612C">
        <w:t xml:space="preserve"> </w:t>
      </w:r>
      <w:r w:rsidR="002754A2" w:rsidRPr="00BA612C">
        <w:rPr>
          <w:color w:val="333333"/>
          <w:lang w:eastAsia="de-DE"/>
        </w:rPr>
        <w:t>low education and migrant backgrounds</w:t>
      </w:r>
      <w:r w:rsidR="0080444B" w:rsidRPr="00BA612C">
        <w:rPr>
          <w:color w:val="333333"/>
          <w:lang w:eastAsia="de-DE"/>
        </w:rPr>
        <w:t xml:space="preserve">) </w:t>
      </w:r>
      <w:r w:rsidR="008B7F62" w:rsidRPr="00BA612C">
        <w:t xml:space="preserve">and social exclusion of persons with disabilities in Austria, it has to be stated that policies do not explicitly refer to persons with disabilities but subsume these persons in a much broader category, </w:t>
      </w:r>
      <w:r w:rsidR="0081059C" w:rsidRPr="00BA612C">
        <w:t>indicating</w:t>
      </w:r>
      <w:r w:rsidR="008B7F62" w:rsidRPr="00BA612C">
        <w:t xml:space="preserve"> that needs of persons with disabilities </w:t>
      </w:r>
      <w:r w:rsidR="000638A2" w:rsidRPr="00BA612C">
        <w:t>are not addressed</w:t>
      </w:r>
      <w:r w:rsidR="008B7F62" w:rsidRPr="00BA612C">
        <w:t xml:space="preserve"> in a sufficient way. What </w:t>
      </w:r>
      <w:r w:rsidR="000638A2" w:rsidRPr="00BA612C">
        <w:t>is evident</w:t>
      </w:r>
      <w:r w:rsidR="008B7F62" w:rsidRPr="00BA612C">
        <w:t xml:space="preserve"> in the context of </w:t>
      </w:r>
      <w:r w:rsidR="000638A2" w:rsidRPr="00BA612C">
        <w:t xml:space="preserve">a lack of </w:t>
      </w:r>
      <w:r w:rsidR="008B7F62" w:rsidRPr="00BA612C">
        <w:t>effective measures to reduce the high level of poverty among persons with disabilities is the fact that poverty is related to many other aspects of li</w:t>
      </w:r>
      <w:r w:rsidR="000638A2" w:rsidRPr="00BA612C">
        <w:t>f</w:t>
      </w:r>
      <w:r w:rsidR="008B7F62" w:rsidRPr="00BA612C">
        <w:t>e which are also not sufficiently addressed by Austrian policymakers: without a solid education, persons with disabilities will always be at risk of poverty and social exclusion.</w:t>
      </w:r>
    </w:p>
    <w:p w14:paraId="701CB29D" w14:textId="77777777" w:rsidR="00D307B1" w:rsidRPr="00BA612C" w:rsidRDefault="00D307B1" w:rsidP="002723EC"/>
    <w:p w14:paraId="62E755EA" w14:textId="0489D18D" w:rsidR="00D307B1" w:rsidRPr="00BA612C" w:rsidRDefault="00D307B1" w:rsidP="002723EC">
      <w:r w:rsidRPr="00BA612C">
        <w:t xml:space="preserve">It has to be added, that social exclusion comprises much more than the economic aspect of live. </w:t>
      </w:r>
      <w:r w:rsidR="009B2F9C" w:rsidRPr="00BA612C">
        <w:t xml:space="preserve">Persons with disabilities are not only less likely to work but less likely to live in a household where work intensity is high. </w:t>
      </w:r>
      <w:r w:rsidRPr="00BA612C">
        <w:t>When evaluating the degree of social exclusion of persons with disabilities, societal and political challenges for an inclusive society also need to be included in the debate.</w:t>
      </w:r>
      <w:r w:rsidR="00B13F01" w:rsidRPr="00BA612C">
        <w:t xml:space="preserve"> </w:t>
      </w:r>
    </w:p>
    <w:p w14:paraId="0F19310A" w14:textId="77777777" w:rsidR="0010423F" w:rsidRPr="00BA612C" w:rsidRDefault="0010423F" w:rsidP="002723EC"/>
    <w:p w14:paraId="547AF505" w14:textId="77777777" w:rsidR="0010423F" w:rsidRPr="00BA612C" w:rsidRDefault="001E4166" w:rsidP="002723EC">
      <w:pPr>
        <w:pStyle w:val="Heading2"/>
        <w:rPr>
          <w:szCs w:val="24"/>
          <w:lang w:eastAsia="en-GB"/>
        </w:rPr>
      </w:pPr>
      <w:bookmarkStart w:id="39" w:name="_Toc429999650"/>
      <w:bookmarkStart w:id="40" w:name="_Toc483400184"/>
      <w:r w:rsidRPr="00BA612C">
        <w:rPr>
          <w:szCs w:val="24"/>
          <w:lang w:eastAsia="en-GB"/>
        </w:rPr>
        <w:t>S</w:t>
      </w:r>
      <w:r w:rsidR="0010423F" w:rsidRPr="00BA612C">
        <w:rPr>
          <w:szCs w:val="24"/>
          <w:lang w:eastAsia="en-GB"/>
        </w:rPr>
        <w:t xml:space="preserve">ynergies between </w:t>
      </w:r>
      <w:r w:rsidRPr="00BA612C">
        <w:rPr>
          <w:szCs w:val="24"/>
          <w:lang w:eastAsia="en-GB"/>
        </w:rPr>
        <w:t>developments in the different areas</w:t>
      </w:r>
      <w:bookmarkEnd w:id="39"/>
      <w:bookmarkEnd w:id="40"/>
    </w:p>
    <w:p w14:paraId="59AB170A" w14:textId="77777777" w:rsidR="0010423F" w:rsidRPr="00BA612C" w:rsidRDefault="0010423F" w:rsidP="002723EC">
      <w:pPr>
        <w:rPr>
          <w:lang w:eastAsia="en-GB"/>
        </w:rPr>
      </w:pPr>
    </w:p>
    <w:p w14:paraId="65B404CC" w14:textId="444734A3" w:rsidR="00077A87" w:rsidRPr="00BA612C" w:rsidRDefault="00ED40E0" w:rsidP="002723EC">
      <w:pPr>
        <w:rPr>
          <w:lang w:eastAsia="en-GB"/>
        </w:rPr>
      </w:pPr>
      <w:r w:rsidRPr="00BA612C">
        <w:rPr>
          <w:lang w:eastAsia="en-GB"/>
        </w:rPr>
        <w:t>As in 2015</w:t>
      </w:r>
      <w:r w:rsidR="00435E8F" w:rsidRPr="00BA612C">
        <w:rPr>
          <w:lang w:eastAsia="en-GB"/>
        </w:rPr>
        <w:t>, i</w:t>
      </w:r>
      <w:r w:rsidR="00955330" w:rsidRPr="00BA612C">
        <w:rPr>
          <w:lang w:eastAsia="en-GB"/>
        </w:rPr>
        <w:t xml:space="preserve">n sum and referring to </w:t>
      </w:r>
      <w:r w:rsidRPr="00BA612C">
        <w:rPr>
          <w:lang w:eastAsia="en-GB"/>
        </w:rPr>
        <w:t xml:space="preserve">the </w:t>
      </w:r>
      <w:r w:rsidR="00955330" w:rsidRPr="00BA612C">
        <w:rPr>
          <w:lang w:eastAsia="en-GB"/>
        </w:rPr>
        <w:t xml:space="preserve">points </w:t>
      </w:r>
      <w:r w:rsidR="000638A2" w:rsidRPr="00BA612C">
        <w:rPr>
          <w:lang w:eastAsia="en-GB"/>
        </w:rPr>
        <w:t>made above</w:t>
      </w:r>
      <w:r w:rsidR="00955330" w:rsidRPr="00BA612C">
        <w:rPr>
          <w:lang w:eastAsia="en-GB"/>
        </w:rPr>
        <w:t xml:space="preserve">, negative synergies can be observed in the Austrian context: </w:t>
      </w:r>
    </w:p>
    <w:p w14:paraId="2B5D6558" w14:textId="77777777" w:rsidR="00077A87" w:rsidRPr="00BA612C" w:rsidRDefault="00077A87" w:rsidP="002723EC">
      <w:pPr>
        <w:rPr>
          <w:lang w:eastAsia="en-GB"/>
        </w:rPr>
      </w:pPr>
    </w:p>
    <w:p w14:paraId="6C94DCF1" w14:textId="7ABB3B76" w:rsidR="00871A17" w:rsidRPr="00BA612C" w:rsidRDefault="00955330" w:rsidP="002723EC">
      <w:pPr>
        <w:rPr>
          <w:lang w:eastAsia="en-GB"/>
        </w:rPr>
      </w:pPr>
      <w:r w:rsidRPr="00BA612C">
        <w:rPr>
          <w:lang w:eastAsia="en-GB"/>
        </w:rPr>
        <w:t xml:space="preserve">As long as persons with disabilities are perceived as an appendix to society and not as an equal part of society, policies will not address the living conditions of persons with disabilities in an adequate way (highlighted by the fact that </w:t>
      </w:r>
      <w:r w:rsidR="000921C2" w:rsidRPr="00BA612C">
        <w:rPr>
          <w:lang w:eastAsia="en-GB"/>
        </w:rPr>
        <w:t>in the 201</w:t>
      </w:r>
      <w:r w:rsidR="004C4FCB" w:rsidRPr="00BA612C">
        <w:rPr>
          <w:lang w:eastAsia="en-GB"/>
        </w:rPr>
        <w:t>6</w:t>
      </w:r>
      <w:r w:rsidRPr="00BA612C">
        <w:rPr>
          <w:lang w:eastAsia="en-GB"/>
        </w:rPr>
        <w:t xml:space="preserve"> NRP, persons with disabilities are only </w:t>
      </w:r>
      <w:r w:rsidR="00A22719" w:rsidRPr="00BA612C">
        <w:rPr>
          <w:lang w:eastAsia="en-GB"/>
        </w:rPr>
        <w:t xml:space="preserve">scarcely </w:t>
      </w:r>
      <w:r w:rsidRPr="00BA612C">
        <w:rPr>
          <w:lang w:eastAsia="en-GB"/>
        </w:rPr>
        <w:t>mentioned</w:t>
      </w:r>
      <w:r w:rsidR="00A22719" w:rsidRPr="00BA612C">
        <w:rPr>
          <w:lang w:eastAsia="en-GB"/>
        </w:rPr>
        <w:t xml:space="preserve"> as such and usually included in terms like </w:t>
      </w:r>
      <w:r w:rsidR="00EF7731" w:rsidRPr="00BA612C">
        <w:rPr>
          <w:lang w:eastAsia="en-GB"/>
        </w:rPr>
        <w:t>‘</w:t>
      </w:r>
      <w:r w:rsidR="00A22719" w:rsidRPr="00BA612C">
        <w:rPr>
          <w:lang w:eastAsia="en-GB"/>
        </w:rPr>
        <w:t>disadvantaged groups</w:t>
      </w:r>
      <w:r w:rsidR="00EF7731" w:rsidRPr="00BA612C">
        <w:rPr>
          <w:lang w:eastAsia="en-GB"/>
        </w:rPr>
        <w:t>’</w:t>
      </w:r>
      <w:r w:rsidRPr="00BA612C">
        <w:rPr>
          <w:lang w:eastAsia="en-GB"/>
        </w:rPr>
        <w:t xml:space="preserve">). Persons with disabilities are not perceived as a distinct and important target group, thus, they are often invisible in programmes or data collection. Disability policy has not yet been acknowledged as a distinct policy field that needs particular attention. </w:t>
      </w:r>
      <w:r w:rsidR="00871A17" w:rsidRPr="00BA612C">
        <w:rPr>
          <w:lang w:eastAsia="en-GB"/>
        </w:rPr>
        <w:t xml:space="preserve">A recently presented media analysis on the representation of persons with disabilities in Austrian </w:t>
      </w:r>
      <w:r w:rsidR="001B6760" w:rsidRPr="00BA612C">
        <w:rPr>
          <w:lang w:eastAsia="en-GB"/>
        </w:rPr>
        <w:t xml:space="preserve">mass </w:t>
      </w:r>
      <w:r w:rsidR="00871A17" w:rsidRPr="00BA612C">
        <w:rPr>
          <w:lang w:eastAsia="en-GB"/>
        </w:rPr>
        <w:t xml:space="preserve">media strongly confirms this assessment. It showed that disability </w:t>
      </w:r>
      <w:r w:rsidR="001B6760" w:rsidRPr="00BA612C">
        <w:rPr>
          <w:lang w:eastAsia="en-GB"/>
        </w:rPr>
        <w:t xml:space="preserve">policy is extremely </w:t>
      </w:r>
      <w:r w:rsidR="00871A17" w:rsidRPr="00BA612C">
        <w:rPr>
          <w:lang w:eastAsia="en-GB"/>
        </w:rPr>
        <w:t xml:space="preserve">marginalised in Austria: Only 3% of all media coverage on disability issues </w:t>
      </w:r>
      <w:r w:rsidR="001B6760" w:rsidRPr="00BA612C">
        <w:rPr>
          <w:lang w:eastAsia="en-GB"/>
        </w:rPr>
        <w:t>was set by political actors.</w:t>
      </w:r>
      <w:r w:rsidR="001B6760" w:rsidRPr="00BA612C">
        <w:rPr>
          <w:rStyle w:val="FootnoteReference"/>
          <w:lang w:eastAsia="en-GB"/>
        </w:rPr>
        <w:footnoteReference w:id="54"/>
      </w:r>
    </w:p>
    <w:p w14:paraId="10ABF40D" w14:textId="3D3829F3" w:rsidR="00871A17" w:rsidRPr="00BA612C" w:rsidRDefault="00871A17" w:rsidP="002723EC">
      <w:pPr>
        <w:rPr>
          <w:lang w:eastAsia="en-GB"/>
        </w:rPr>
      </w:pPr>
    </w:p>
    <w:p w14:paraId="7EE1DD5C" w14:textId="25ECEE55" w:rsidR="00955330" w:rsidRPr="00BA612C" w:rsidRDefault="00955330" w:rsidP="002723EC">
      <w:pPr>
        <w:rPr>
          <w:lang w:eastAsia="en-GB"/>
        </w:rPr>
      </w:pPr>
      <w:r w:rsidRPr="00BA612C">
        <w:rPr>
          <w:lang w:eastAsia="en-GB"/>
        </w:rPr>
        <w:t xml:space="preserve">Thus, on </w:t>
      </w:r>
      <w:r w:rsidR="000638A2" w:rsidRPr="00BA612C">
        <w:rPr>
          <w:lang w:eastAsia="en-GB"/>
        </w:rPr>
        <w:t xml:space="preserve">a </w:t>
      </w:r>
      <w:r w:rsidRPr="00BA612C">
        <w:rPr>
          <w:lang w:eastAsia="en-GB"/>
        </w:rPr>
        <w:t xml:space="preserve">federal as well as </w:t>
      </w:r>
      <w:r w:rsidR="00747C71" w:rsidRPr="00BA612C">
        <w:rPr>
          <w:lang w:eastAsia="en-GB"/>
        </w:rPr>
        <w:t>regional</w:t>
      </w:r>
      <w:r w:rsidRPr="00BA612C">
        <w:rPr>
          <w:lang w:eastAsia="en-GB"/>
        </w:rPr>
        <w:t xml:space="preserve"> level, disability issues are usually only one issue of social policy in general and likely to be neglected, in the field of education as well as in employment and social inclusion.</w:t>
      </w:r>
      <w:r w:rsidR="00A22719" w:rsidRPr="00BA612C">
        <w:rPr>
          <w:lang w:eastAsia="en-GB"/>
        </w:rPr>
        <w:t xml:space="preserve"> Mainstreaming policies include the danger </w:t>
      </w:r>
      <w:r w:rsidR="00426546" w:rsidRPr="00BA612C">
        <w:rPr>
          <w:lang w:eastAsia="en-GB"/>
        </w:rPr>
        <w:t>of</w:t>
      </w:r>
      <w:r w:rsidR="00A22719" w:rsidRPr="00BA612C">
        <w:rPr>
          <w:lang w:eastAsia="en-GB"/>
        </w:rPr>
        <w:t xml:space="preserve"> reinforc</w:t>
      </w:r>
      <w:r w:rsidR="00426546" w:rsidRPr="00BA612C">
        <w:rPr>
          <w:lang w:eastAsia="en-GB"/>
        </w:rPr>
        <w:t>ing</w:t>
      </w:r>
      <w:r w:rsidR="00A22719" w:rsidRPr="00BA612C">
        <w:rPr>
          <w:lang w:eastAsia="en-GB"/>
        </w:rPr>
        <w:t xml:space="preserve"> this situation. Mainstreaming pe</w:t>
      </w:r>
      <w:r w:rsidR="005E0BE8" w:rsidRPr="00BA612C">
        <w:rPr>
          <w:lang w:eastAsia="en-GB"/>
        </w:rPr>
        <w:t>rsons</w:t>
      </w:r>
      <w:r w:rsidR="00A22719" w:rsidRPr="00BA612C">
        <w:rPr>
          <w:lang w:eastAsia="en-GB"/>
        </w:rPr>
        <w:t xml:space="preserve"> with disabilities without providing distinct and specialised support structures</w:t>
      </w:r>
      <w:r w:rsidR="00EF1D83" w:rsidRPr="00BA612C">
        <w:rPr>
          <w:lang w:eastAsia="en-GB"/>
        </w:rPr>
        <w:t xml:space="preserve"> often leads to the reinforcement and perpetuation of exclusion</w:t>
      </w:r>
      <w:r w:rsidR="000C158E" w:rsidRPr="00BA612C">
        <w:rPr>
          <w:lang w:eastAsia="en-GB"/>
        </w:rPr>
        <w:t>ary practices</w:t>
      </w:r>
      <w:r w:rsidR="00EF1D83" w:rsidRPr="00BA612C">
        <w:rPr>
          <w:lang w:eastAsia="en-GB"/>
        </w:rPr>
        <w:t>.</w:t>
      </w:r>
    </w:p>
    <w:p w14:paraId="39F6165F" w14:textId="77777777" w:rsidR="00955330" w:rsidRPr="00BA612C" w:rsidRDefault="00955330" w:rsidP="002723EC">
      <w:pPr>
        <w:rPr>
          <w:lang w:eastAsia="en-GB"/>
        </w:rPr>
      </w:pPr>
    </w:p>
    <w:p w14:paraId="30C50F68" w14:textId="3A748E3C" w:rsidR="00955330" w:rsidRPr="00BA612C" w:rsidRDefault="00955330" w:rsidP="002723EC">
      <w:pPr>
        <w:rPr>
          <w:lang w:eastAsia="en-GB"/>
        </w:rPr>
      </w:pPr>
      <w:r w:rsidRPr="00BA612C">
        <w:rPr>
          <w:lang w:eastAsia="en-GB"/>
        </w:rPr>
        <w:t xml:space="preserve">The </w:t>
      </w:r>
      <w:r w:rsidR="00A84327" w:rsidRPr="00BA612C">
        <w:rPr>
          <w:lang w:eastAsia="en-GB"/>
        </w:rPr>
        <w:t xml:space="preserve">still </w:t>
      </w:r>
      <w:r w:rsidRPr="00BA612C">
        <w:rPr>
          <w:lang w:eastAsia="en-GB"/>
        </w:rPr>
        <w:t xml:space="preserve">slow and insufficient implementation of the CRPD is not only a sign </w:t>
      </w:r>
      <w:r w:rsidR="00426546" w:rsidRPr="00BA612C">
        <w:rPr>
          <w:lang w:eastAsia="en-GB"/>
        </w:rPr>
        <w:t>of</w:t>
      </w:r>
      <w:r w:rsidRPr="00BA612C">
        <w:rPr>
          <w:lang w:eastAsia="en-GB"/>
        </w:rPr>
        <w:t xml:space="preserve"> unwillingness to change the living conditions for persons with disabilities in Austria, but also a barrier for the development of </w:t>
      </w:r>
      <w:r w:rsidR="00BB0F80" w:rsidRPr="00BA612C">
        <w:rPr>
          <w:lang w:eastAsia="en-GB"/>
        </w:rPr>
        <w:t>sustainable policies</w:t>
      </w:r>
      <w:r w:rsidR="00111DC3" w:rsidRPr="00BA612C">
        <w:rPr>
          <w:lang w:eastAsia="en-GB"/>
        </w:rPr>
        <w:t xml:space="preserve"> and policy change</w:t>
      </w:r>
      <w:r w:rsidR="00BB0F80" w:rsidRPr="00BA612C">
        <w:rPr>
          <w:lang w:eastAsia="en-GB"/>
        </w:rPr>
        <w:t>:</w:t>
      </w:r>
      <w:r w:rsidRPr="00BA612C">
        <w:rPr>
          <w:lang w:eastAsia="en-GB"/>
        </w:rPr>
        <w:t xml:space="preserve"> </w:t>
      </w:r>
      <w:r w:rsidR="00426546" w:rsidRPr="00BA612C">
        <w:rPr>
          <w:lang w:eastAsia="en-GB"/>
        </w:rPr>
        <w:t>a</w:t>
      </w:r>
      <w:r w:rsidRPr="00BA612C">
        <w:rPr>
          <w:lang w:eastAsia="en-GB"/>
        </w:rPr>
        <w:t>n exclusionary education and training system inevitably leads to an exclusionary labour market and employment situation. The argument of the economic crisis evoked in the context of the debate about the development of an inclusive society (i.a. in the context of the costs of the National Action Plan Disability</w:t>
      </w:r>
      <w:r w:rsidR="00F17C6F" w:rsidRPr="00BA612C">
        <w:rPr>
          <w:lang w:eastAsia="en-GB"/>
        </w:rPr>
        <w:t xml:space="preserve"> 2012-2020</w:t>
      </w:r>
      <w:r w:rsidRPr="00BA612C">
        <w:rPr>
          <w:lang w:eastAsia="en-GB"/>
        </w:rPr>
        <w:t>) is often used to conceal the fact that several changes could be made nearly cost-neutral</w:t>
      </w:r>
      <w:r w:rsidR="00196975" w:rsidRPr="00BA612C">
        <w:rPr>
          <w:rStyle w:val="FootnoteReference"/>
          <w:lang w:eastAsia="en-GB"/>
        </w:rPr>
        <w:footnoteReference w:id="55"/>
      </w:r>
      <w:r w:rsidR="00947AFF" w:rsidRPr="00BA612C">
        <w:rPr>
          <w:lang w:eastAsia="en-GB"/>
        </w:rPr>
        <w:t xml:space="preserve"> </w:t>
      </w:r>
      <w:r w:rsidRPr="00BA612C">
        <w:rPr>
          <w:lang w:eastAsia="en-GB"/>
        </w:rPr>
        <w:t xml:space="preserve">(in restructuring for example the Austrian parallel education system of regular and special schools), but </w:t>
      </w:r>
      <w:r w:rsidR="00426546" w:rsidRPr="00BA612C">
        <w:rPr>
          <w:lang w:eastAsia="en-GB"/>
        </w:rPr>
        <w:t>for which there needs to be</w:t>
      </w:r>
      <w:r w:rsidRPr="00BA612C">
        <w:rPr>
          <w:lang w:eastAsia="en-GB"/>
        </w:rPr>
        <w:t xml:space="preserve"> the will for change.</w:t>
      </w:r>
    </w:p>
    <w:p w14:paraId="0C2D2441" w14:textId="77777777" w:rsidR="001601AB" w:rsidRPr="00BA612C" w:rsidRDefault="001601AB" w:rsidP="002723EC">
      <w:pPr>
        <w:rPr>
          <w:lang w:eastAsia="en-GB"/>
        </w:rPr>
      </w:pPr>
    </w:p>
    <w:p w14:paraId="139FBE24" w14:textId="77777777" w:rsidR="001E4166" w:rsidRPr="00BA612C" w:rsidRDefault="001E4166" w:rsidP="002723EC">
      <w:pPr>
        <w:rPr>
          <w:rFonts w:eastAsiaTheme="majorEastAsia"/>
          <w:lang w:eastAsia="en-GB"/>
        </w:rPr>
      </w:pPr>
      <w:r w:rsidRPr="00BA612C">
        <w:rPr>
          <w:lang w:eastAsia="en-GB"/>
        </w:rPr>
        <w:br w:type="page"/>
      </w:r>
    </w:p>
    <w:p w14:paraId="724E26F1" w14:textId="1E22C885" w:rsidR="0010423F" w:rsidRPr="00BA612C" w:rsidRDefault="004D01C6" w:rsidP="002723EC">
      <w:pPr>
        <w:pStyle w:val="Heading1"/>
        <w:rPr>
          <w:szCs w:val="24"/>
          <w:lang w:eastAsia="en-GB"/>
        </w:rPr>
      </w:pPr>
      <w:bookmarkStart w:id="41" w:name="_Toc429999651"/>
      <w:bookmarkStart w:id="42" w:name="_Toc483400185"/>
      <w:r w:rsidRPr="00BA612C">
        <w:rPr>
          <w:szCs w:val="24"/>
          <w:lang w:eastAsia="en-GB"/>
        </w:rPr>
        <w:t>Review of the European Semester from a</w:t>
      </w:r>
      <w:r w:rsidR="001E4166" w:rsidRPr="00BA612C">
        <w:rPr>
          <w:szCs w:val="24"/>
          <w:lang w:eastAsia="en-GB"/>
        </w:rPr>
        <w:t xml:space="preserve"> disability perspective</w:t>
      </w:r>
      <w:bookmarkEnd w:id="41"/>
      <w:bookmarkEnd w:id="42"/>
    </w:p>
    <w:p w14:paraId="152260D4" w14:textId="77777777" w:rsidR="000E1D50" w:rsidRPr="00BA612C" w:rsidRDefault="000E1D50" w:rsidP="002723EC">
      <w:bookmarkStart w:id="43" w:name="_Toc429999652"/>
    </w:p>
    <w:p w14:paraId="1279B446" w14:textId="5494FAE5" w:rsidR="001E4166" w:rsidRPr="00BA612C" w:rsidRDefault="006B7206" w:rsidP="002723EC">
      <w:pPr>
        <w:pStyle w:val="Heading2"/>
        <w:rPr>
          <w:szCs w:val="24"/>
        </w:rPr>
      </w:pPr>
      <w:bookmarkStart w:id="44" w:name="_Toc483400186"/>
      <w:r w:rsidRPr="00BA612C">
        <w:rPr>
          <w:szCs w:val="24"/>
        </w:rPr>
        <w:t>Progress on disability</w:t>
      </w:r>
      <w:r w:rsidR="00A14F67" w:rsidRPr="00BA612C">
        <w:rPr>
          <w:szCs w:val="24"/>
        </w:rPr>
        <w:t xml:space="preserve">-specific </w:t>
      </w:r>
      <w:r w:rsidR="001E4166" w:rsidRPr="00BA612C">
        <w:rPr>
          <w:szCs w:val="24"/>
        </w:rPr>
        <w:t xml:space="preserve">Country </w:t>
      </w:r>
      <w:r w:rsidR="00FA5809" w:rsidRPr="00BA612C">
        <w:rPr>
          <w:szCs w:val="24"/>
        </w:rPr>
        <w:t>S</w:t>
      </w:r>
      <w:r w:rsidR="001E4166" w:rsidRPr="00BA612C">
        <w:rPr>
          <w:szCs w:val="24"/>
        </w:rPr>
        <w:t xml:space="preserve">pecific </w:t>
      </w:r>
      <w:r w:rsidR="00FA5809" w:rsidRPr="00BA612C">
        <w:rPr>
          <w:szCs w:val="24"/>
        </w:rPr>
        <w:t>R</w:t>
      </w:r>
      <w:r w:rsidR="001E4166" w:rsidRPr="00BA612C">
        <w:rPr>
          <w:szCs w:val="24"/>
        </w:rPr>
        <w:t>ecommendations (CSRs)</w:t>
      </w:r>
      <w:bookmarkEnd w:id="43"/>
      <w:bookmarkEnd w:id="44"/>
    </w:p>
    <w:p w14:paraId="62059AD3" w14:textId="77777777" w:rsidR="001E4166" w:rsidRPr="00BA612C" w:rsidRDefault="001E4166" w:rsidP="002723EC">
      <w:pPr>
        <w:rPr>
          <w:lang w:eastAsia="en-GB"/>
        </w:rPr>
      </w:pPr>
    </w:p>
    <w:p w14:paraId="379D2B48" w14:textId="5527B52B" w:rsidR="00426546" w:rsidRPr="00BA612C" w:rsidRDefault="00426546" w:rsidP="002723EC">
      <w:pPr>
        <w:rPr>
          <w:lang w:eastAsia="en-GB"/>
        </w:rPr>
      </w:pPr>
      <w:r w:rsidRPr="00BA612C">
        <w:rPr>
          <w:lang w:eastAsia="en-GB"/>
        </w:rPr>
        <w:t>There are no disability</w:t>
      </w:r>
      <w:r w:rsidR="00A32D2C" w:rsidRPr="00BA612C">
        <w:rPr>
          <w:lang w:eastAsia="en-GB"/>
        </w:rPr>
        <w:t>-</w:t>
      </w:r>
      <w:r w:rsidRPr="00BA612C">
        <w:rPr>
          <w:lang w:eastAsia="en-GB"/>
        </w:rPr>
        <w:t>specific CSRs for Austria</w:t>
      </w:r>
      <w:r w:rsidR="00393DD9" w:rsidRPr="00BA612C">
        <w:rPr>
          <w:lang w:eastAsia="en-GB"/>
        </w:rPr>
        <w:t>.</w:t>
      </w:r>
      <w:r w:rsidR="00BA039C" w:rsidRPr="00BA612C">
        <w:rPr>
          <w:lang w:eastAsia="en-GB"/>
        </w:rPr>
        <w:t xml:space="preserve"> As long as this </w:t>
      </w:r>
      <w:r w:rsidR="00307404" w:rsidRPr="00BA612C">
        <w:rPr>
          <w:lang w:eastAsia="en-GB"/>
        </w:rPr>
        <w:t>is</w:t>
      </w:r>
      <w:r w:rsidR="00BA039C" w:rsidRPr="00BA612C">
        <w:rPr>
          <w:lang w:eastAsia="en-GB"/>
        </w:rPr>
        <w:t xml:space="preserve"> the case, it is </w:t>
      </w:r>
      <w:r w:rsidR="005E0802" w:rsidRPr="00BA612C">
        <w:rPr>
          <w:lang w:eastAsia="en-GB"/>
        </w:rPr>
        <w:t xml:space="preserve">highly unlikely that Austria will address disability related issues and persons with disabilities as a relevant target group for diverse </w:t>
      </w:r>
      <w:r w:rsidR="00C40A52" w:rsidRPr="00BA612C">
        <w:rPr>
          <w:lang w:eastAsia="en-GB"/>
        </w:rPr>
        <w:t xml:space="preserve">political sectors and </w:t>
      </w:r>
      <w:r w:rsidR="005E0802" w:rsidRPr="00BA612C">
        <w:rPr>
          <w:lang w:eastAsia="en-GB"/>
        </w:rPr>
        <w:t xml:space="preserve">policies. </w:t>
      </w:r>
      <w:r w:rsidR="00BA039C" w:rsidRPr="00BA612C">
        <w:rPr>
          <w:lang w:eastAsia="en-GB"/>
        </w:rPr>
        <w:t xml:space="preserve"> </w:t>
      </w:r>
    </w:p>
    <w:p w14:paraId="7BE6F401" w14:textId="77777777" w:rsidR="00762424" w:rsidRPr="00BA612C" w:rsidRDefault="00762424" w:rsidP="002723EC">
      <w:pPr>
        <w:rPr>
          <w:lang w:eastAsia="en-GB"/>
        </w:rPr>
      </w:pPr>
    </w:p>
    <w:p w14:paraId="6674A4C3" w14:textId="3834EADD" w:rsidR="00E52032" w:rsidRPr="00BA612C" w:rsidRDefault="00762424" w:rsidP="002723EC">
      <w:pPr>
        <w:rPr>
          <w:lang w:eastAsia="en-GB"/>
        </w:rPr>
      </w:pPr>
      <w:r w:rsidRPr="00BA612C">
        <w:rPr>
          <w:lang w:eastAsia="en-GB"/>
        </w:rPr>
        <w:t xml:space="preserve">Similar to the NRP, persons with disabilities are not a specific </w:t>
      </w:r>
      <w:r w:rsidR="00E52032" w:rsidRPr="00BA612C">
        <w:rPr>
          <w:lang w:eastAsia="en-GB"/>
        </w:rPr>
        <w:t>‘</w:t>
      </w:r>
      <w:r w:rsidRPr="00BA612C">
        <w:rPr>
          <w:lang w:eastAsia="en-GB"/>
        </w:rPr>
        <w:t>target group</w:t>
      </w:r>
      <w:r w:rsidR="00E52032" w:rsidRPr="00BA612C">
        <w:rPr>
          <w:lang w:eastAsia="en-GB"/>
        </w:rPr>
        <w:t>’</w:t>
      </w:r>
      <w:r w:rsidRPr="00BA612C">
        <w:rPr>
          <w:lang w:eastAsia="en-GB"/>
        </w:rPr>
        <w:t xml:space="preserve"> in the CSRs. </w:t>
      </w:r>
      <w:r w:rsidR="00092965" w:rsidRPr="00BA612C">
        <w:rPr>
          <w:lang w:eastAsia="en-GB"/>
        </w:rPr>
        <w:t xml:space="preserve">Of course, in several cases persons with disabilities and other ‘groups’ overlap with regard to specific </w:t>
      </w:r>
      <w:r w:rsidR="00092965" w:rsidRPr="00BA612C">
        <w:rPr>
          <w:i/>
          <w:iCs/>
          <w:lang w:eastAsia="en-GB"/>
        </w:rPr>
        <w:t>needs and support</w:t>
      </w:r>
      <w:r w:rsidR="00092965" w:rsidRPr="00BA612C">
        <w:rPr>
          <w:lang w:eastAsia="en-GB"/>
        </w:rPr>
        <w:t xml:space="preserve">, </w:t>
      </w:r>
      <w:r w:rsidR="002A524F" w:rsidRPr="00BA612C">
        <w:rPr>
          <w:lang w:eastAsia="en-GB"/>
        </w:rPr>
        <w:t xml:space="preserve">but </w:t>
      </w:r>
      <w:r w:rsidR="00FA1880" w:rsidRPr="00BA612C">
        <w:rPr>
          <w:lang w:eastAsia="en-GB"/>
        </w:rPr>
        <w:t>are not congruent</w:t>
      </w:r>
      <w:r w:rsidR="00025A3F" w:rsidRPr="00BA612C">
        <w:rPr>
          <w:lang w:eastAsia="en-GB"/>
        </w:rPr>
        <w:t xml:space="preserve"> with </w:t>
      </w:r>
      <w:r w:rsidR="00DE1321" w:rsidRPr="00BA612C">
        <w:rPr>
          <w:lang w:eastAsia="en-GB"/>
        </w:rPr>
        <w:t>other (for example, Country-Specific recommendation 1 mentions refugees as a specific group, Country-Specific recommendation 2 mentions women</w:t>
      </w:r>
      <w:r w:rsidR="00204AB4" w:rsidRPr="00BA612C">
        <w:rPr>
          <w:lang w:eastAsia="en-GB"/>
        </w:rPr>
        <w:t xml:space="preserve"> and also disadvantaged young people</w:t>
      </w:r>
      <w:r w:rsidR="000C166A" w:rsidRPr="00BA612C">
        <w:rPr>
          <w:lang w:eastAsia="en-GB"/>
        </w:rPr>
        <w:t>, especially migrants</w:t>
      </w:r>
      <w:r w:rsidR="00DE1321" w:rsidRPr="00BA612C">
        <w:rPr>
          <w:lang w:eastAsia="en-GB"/>
        </w:rPr>
        <w:t xml:space="preserve">). </w:t>
      </w:r>
      <w:r w:rsidR="008337DE" w:rsidRPr="00BA612C">
        <w:rPr>
          <w:lang w:eastAsia="en-GB"/>
        </w:rPr>
        <w:t xml:space="preserve">Also, </w:t>
      </w:r>
      <w:r w:rsidR="008337DE" w:rsidRPr="00BA612C">
        <w:rPr>
          <w:i/>
          <w:iCs/>
          <w:lang w:eastAsia="en-GB"/>
        </w:rPr>
        <w:t>policy fields</w:t>
      </w:r>
      <w:r w:rsidR="008337DE" w:rsidRPr="00BA612C">
        <w:rPr>
          <w:lang w:eastAsia="en-GB"/>
        </w:rPr>
        <w:t xml:space="preserve"> such as healthcare and employment (mentioned in Country-Specific recommendation 1) or education (mentioned in Country-Specific Recommendation 2) obviously are also relevant for persons with disabilities, but they are not mentioned as a ‘target group’. </w:t>
      </w:r>
      <w:r w:rsidR="002E2C20" w:rsidRPr="00BA612C">
        <w:rPr>
          <w:lang w:eastAsia="en-GB"/>
        </w:rPr>
        <w:t xml:space="preserve">As long as persons with disabilities are not mentioned explicitly, they remain invisible for policymakers </w:t>
      </w:r>
      <w:r w:rsidR="00550121" w:rsidRPr="00BA612C">
        <w:rPr>
          <w:lang w:eastAsia="en-GB"/>
        </w:rPr>
        <w:t xml:space="preserve">which means that no </w:t>
      </w:r>
      <w:r w:rsidR="008863EA" w:rsidRPr="00BA612C">
        <w:rPr>
          <w:lang w:eastAsia="en-GB"/>
        </w:rPr>
        <w:t xml:space="preserve">political </w:t>
      </w:r>
      <w:r w:rsidR="00550121" w:rsidRPr="00BA612C">
        <w:rPr>
          <w:lang w:eastAsia="en-GB"/>
        </w:rPr>
        <w:t xml:space="preserve">steps </w:t>
      </w:r>
      <w:r w:rsidR="00937BDD" w:rsidRPr="00BA612C">
        <w:rPr>
          <w:lang w:eastAsia="en-GB"/>
        </w:rPr>
        <w:t xml:space="preserve">need to be and </w:t>
      </w:r>
      <w:r w:rsidR="00550121" w:rsidRPr="00BA612C">
        <w:rPr>
          <w:lang w:eastAsia="en-GB"/>
        </w:rPr>
        <w:t xml:space="preserve">will be taken to </w:t>
      </w:r>
      <w:r w:rsidR="00307404" w:rsidRPr="00BA612C">
        <w:rPr>
          <w:lang w:eastAsia="en-GB"/>
        </w:rPr>
        <w:t>improve</w:t>
      </w:r>
      <w:r w:rsidR="00550121" w:rsidRPr="00BA612C">
        <w:rPr>
          <w:lang w:eastAsia="en-GB"/>
        </w:rPr>
        <w:t xml:space="preserve"> their situation</w:t>
      </w:r>
      <w:r w:rsidR="00307404" w:rsidRPr="00BA612C">
        <w:rPr>
          <w:lang w:eastAsia="en-GB"/>
        </w:rPr>
        <w:t xml:space="preserve"> or to adapt measures that have been relied on so far</w:t>
      </w:r>
      <w:r w:rsidR="002E2C20" w:rsidRPr="00BA612C">
        <w:rPr>
          <w:lang w:eastAsia="en-GB"/>
        </w:rPr>
        <w:t>.</w:t>
      </w:r>
    </w:p>
    <w:p w14:paraId="33CBF9A9" w14:textId="77777777" w:rsidR="006B7206" w:rsidRPr="00BA612C" w:rsidRDefault="006B7206" w:rsidP="002723EC">
      <w:pPr>
        <w:rPr>
          <w:lang w:eastAsia="en-GB"/>
        </w:rPr>
      </w:pPr>
    </w:p>
    <w:p w14:paraId="3335975F" w14:textId="69B8ED4A" w:rsidR="006B7206" w:rsidRPr="00BA612C" w:rsidRDefault="00A14F67" w:rsidP="002723EC">
      <w:pPr>
        <w:pStyle w:val="Heading2"/>
        <w:rPr>
          <w:szCs w:val="24"/>
          <w:lang w:eastAsia="en-GB"/>
        </w:rPr>
      </w:pPr>
      <w:bookmarkStart w:id="45" w:name="_Toc429999653"/>
      <w:bookmarkStart w:id="46" w:name="_Toc483400187"/>
      <w:r w:rsidRPr="00BA612C">
        <w:rPr>
          <w:szCs w:val="24"/>
          <w:lang w:eastAsia="en-GB"/>
        </w:rPr>
        <w:t>Progress on o</w:t>
      </w:r>
      <w:r w:rsidR="006B7206" w:rsidRPr="00BA612C">
        <w:rPr>
          <w:szCs w:val="24"/>
          <w:lang w:eastAsia="en-GB"/>
        </w:rPr>
        <w:t xml:space="preserve">ther CSRs </w:t>
      </w:r>
      <w:r w:rsidRPr="00BA612C">
        <w:rPr>
          <w:szCs w:val="24"/>
          <w:lang w:eastAsia="en-GB"/>
        </w:rPr>
        <w:t>from a</w:t>
      </w:r>
      <w:r w:rsidR="006B7206" w:rsidRPr="00BA612C">
        <w:rPr>
          <w:szCs w:val="24"/>
          <w:lang w:eastAsia="en-GB"/>
        </w:rPr>
        <w:t xml:space="preserve"> disability perspective</w:t>
      </w:r>
      <w:bookmarkEnd w:id="45"/>
      <w:bookmarkEnd w:id="46"/>
    </w:p>
    <w:p w14:paraId="29FCDC39" w14:textId="77777777" w:rsidR="006B7206" w:rsidRPr="00BA612C" w:rsidRDefault="006B7206" w:rsidP="002723EC">
      <w:pPr>
        <w:rPr>
          <w:lang w:eastAsia="en-GB"/>
        </w:rPr>
      </w:pPr>
    </w:p>
    <w:p w14:paraId="1E7F2822" w14:textId="44CC2E8E" w:rsidR="00C31186" w:rsidRPr="00BA612C" w:rsidRDefault="00225ADD" w:rsidP="002723EC">
      <w:pPr>
        <w:rPr>
          <w:lang w:eastAsia="en-GB"/>
        </w:rPr>
      </w:pPr>
      <w:r w:rsidRPr="00BA612C">
        <w:rPr>
          <w:lang w:eastAsia="en-GB"/>
        </w:rPr>
        <w:t xml:space="preserve">No progress </w:t>
      </w:r>
      <w:r w:rsidR="00FC5944" w:rsidRPr="00BA612C">
        <w:rPr>
          <w:lang w:eastAsia="en-GB"/>
        </w:rPr>
        <w:t xml:space="preserve">is </w:t>
      </w:r>
      <w:r w:rsidR="00482732" w:rsidRPr="00BA612C">
        <w:rPr>
          <w:lang w:eastAsia="en-GB"/>
        </w:rPr>
        <w:t xml:space="preserve">detectable </w:t>
      </w:r>
      <w:r w:rsidRPr="00BA612C">
        <w:rPr>
          <w:lang w:eastAsia="en-GB"/>
        </w:rPr>
        <w:t>from a disability perspective</w:t>
      </w:r>
      <w:r w:rsidR="00000CE8" w:rsidRPr="00BA612C">
        <w:rPr>
          <w:lang w:eastAsia="en-GB"/>
        </w:rPr>
        <w:t xml:space="preserve">, as persons with disabilities are not a specific target group in the CSRs. </w:t>
      </w:r>
      <w:r w:rsidRPr="00BA612C">
        <w:rPr>
          <w:lang w:eastAsia="en-GB"/>
        </w:rPr>
        <w:t xml:space="preserve"> </w:t>
      </w:r>
    </w:p>
    <w:p w14:paraId="28388388" w14:textId="77777777" w:rsidR="00084D27" w:rsidRPr="00BA612C" w:rsidRDefault="00084D27" w:rsidP="002723EC">
      <w:pPr>
        <w:rPr>
          <w:lang w:eastAsia="en-GB"/>
        </w:rPr>
      </w:pPr>
    </w:p>
    <w:p w14:paraId="69E4A766" w14:textId="6C4D7F39" w:rsidR="00084D27" w:rsidRPr="00BA612C" w:rsidRDefault="00D15A4D" w:rsidP="002723EC">
      <w:pPr>
        <w:rPr>
          <w:lang w:eastAsia="en-GB"/>
        </w:rPr>
      </w:pPr>
      <w:r w:rsidRPr="00BA612C">
        <w:rPr>
          <w:lang w:eastAsia="en-GB"/>
        </w:rPr>
        <w:t>Regarding the four recommendations formulated in the Council Recommendation on the 201</w:t>
      </w:r>
      <w:r w:rsidR="00CE7733" w:rsidRPr="00BA612C">
        <w:rPr>
          <w:lang w:eastAsia="en-GB"/>
        </w:rPr>
        <w:t>6</w:t>
      </w:r>
      <w:r w:rsidRPr="00BA612C">
        <w:rPr>
          <w:lang w:eastAsia="en-GB"/>
        </w:rPr>
        <w:t xml:space="preserve"> National Reform Programme of Austria,</w:t>
      </w:r>
      <w:r w:rsidR="00E73F4B" w:rsidRPr="00BA612C">
        <w:rPr>
          <w:lang w:eastAsia="en-GB"/>
        </w:rPr>
        <w:t xml:space="preserve"> and already mentioned in our 2015 report,</w:t>
      </w:r>
      <w:r w:rsidRPr="00BA612C">
        <w:rPr>
          <w:lang w:eastAsia="en-GB"/>
        </w:rPr>
        <w:t xml:space="preserve"> recommendation </w:t>
      </w:r>
      <w:r w:rsidR="0002330B" w:rsidRPr="00BA612C">
        <w:rPr>
          <w:lang w:eastAsia="en-GB"/>
        </w:rPr>
        <w:t xml:space="preserve">no. </w:t>
      </w:r>
      <w:r w:rsidRPr="00BA612C">
        <w:rPr>
          <w:lang w:eastAsia="en-GB"/>
        </w:rPr>
        <w:t xml:space="preserve">2 </w:t>
      </w:r>
      <w:r w:rsidR="0002330B" w:rsidRPr="00BA612C">
        <w:rPr>
          <w:lang w:eastAsia="en-GB"/>
        </w:rPr>
        <w:t>refers to an increase of the labour market participation of older workers and women. This recommendation should also explicitly focus on persons with disabilities and the improvement of provisions for these persons (e.g. regarding personal assistance</w:t>
      </w:r>
      <w:r w:rsidR="001C0F8E" w:rsidRPr="00BA612C">
        <w:rPr>
          <w:lang w:eastAsia="en-GB"/>
        </w:rPr>
        <w:t xml:space="preserve"> or a review of the legal framework that currently defines people with disabilities who are either employable or unable to earn their living, introduction of full social insurance coverage for persons with disabilities who are currently in sheltered workshops</w:t>
      </w:r>
      <w:r w:rsidR="0002330B" w:rsidRPr="00BA612C">
        <w:rPr>
          <w:lang w:eastAsia="en-GB"/>
        </w:rPr>
        <w:t>). This also applies to the second aspect mentioned in recommendation no. 2, namely improving the educational achievements of disadvantaged groups</w:t>
      </w:r>
      <w:r w:rsidR="00FE423E" w:rsidRPr="00BA612C">
        <w:rPr>
          <w:lang w:eastAsia="en-GB"/>
        </w:rPr>
        <w:t xml:space="preserve">: this should also explicitly be extended to young persons with disabilities. </w:t>
      </w:r>
    </w:p>
    <w:p w14:paraId="6632D95E" w14:textId="77777777" w:rsidR="006B7206" w:rsidRPr="00BA612C" w:rsidRDefault="006B7206" w:rsidP="002723EC">
      <w:pPr>
        <w:rPr>
          <w:lang w:eastAsia="en-GB"/>
        </w:rPr>
      </w:pPr>
    </w:p>
    <w:p w14:paraId="47C9E92D" w14:textId="76E68345" w:rsidR="006B7206" w:rsidRPr="00BA612C" w:rsidRDefault="006B7206" w:rsidP="002723EC">
      <w:pPr>
        <w:pStyle w:val="Heading2"/>
        <w:rPr>
          <w:szCs w:val="24"/>
          <w:lang w:eastAsia="en-GB"/>
        </w:rPr>
      </w:pPr>
      <w:bookmarkStart w:id="47" w:name="_Toc429999654"/>
      <w:bookmarkStart w:id="48" w:name="_Toc483400188"/>
      <w:r w:rsidRPr="00BA612C">
        <w:rPr>
          <w:szCs w:val="24"/>
          <w:lang w:eastAsia="en-GB"/>
        </w:rPr>
        <w:t xml:space="preserve">Assessment of disability issues in the </w:t>
      </w:r>
      <w:r w:rsidR="00A14F67" w:rsidRPr="00BA612C">
        <w:rPr>
          <w:szCs w:val="24"/>
          <w:lang w:eastAsia="en-GB"/>
        </w:rPr>
        <w:t>Country Report</w:t>
      </w:r>
      <w:r w:rsidR="008D2A5F" w:rsidRPr="00BA612C">
        <w:rPr>
          <w:szCs w:val="24"/>
          <w:lang w:eastAsia="en-GB"/>
        </w:rPr>
        <w:t xml:space="preserve"> (</w:t>
      </w:r>
      <w:r w:rsidR="00A14F67" w:rsidRPr="00BA612C">
        <w:rPr>
          <w:szCs w:val="24"/>
          <w:lang w:eastAsia="en-GB"/>
        </w:rPr>
        <w:t>CR</w:t>
      </w:r>
      <w:r w:rsidR="008D2A5F" w:rsidRPr="00BA612C">
        <w:rPr>
          <w:szCs w:val="24"/>
          <w:lang w:eastAsia="en-GB"/>
        </w:rPr>
        <w:t>)</w:t>
      </w:r>
      <w:bookmarkEnd w:id="47"/>
      <w:bookmarkEnd w:id="48"/>
    </w:p>
    <w:p w14:paraId="2803511F" w14:textId="77777777" w:rsidR="004515AA" w:rsidRPr="00BA612C" w:rsidRDefault="004515AA" w:rsidP="002723EC">
      <w:pPr>
        <w:rPr>
          <w:lang w:eastAsia="en-GB"/>
        </w:rPr>
      </w:pPr>
    </w:p>
    <w:p w14:paraId="2CB81C48" w14:textId="5D302BCD" w:rsidR="00F720CE" w:rsidRPr="00BA612C" w:rsidRDefault="009E4D82" w:rsidP="002723EC">
      <w:pPr>
        <w:rPr>
          <w:lang w:eastAsia="en-GB"/>
        </w:rPr>
      </w:pPr>
      <w:r w:rsidRPr="00BA612C">
        <w:rPr>
          <w:lang w:eastAsia="en-GB"/>
        </w:rPr>
        <w:t xml:space="preserve">Please see sub-chapter above (non-mentioning of persons with disabilities). </w:t>
      </w:r>
    </w:p>
    <w:p w14:paraId="60B9CC61" w14:textId="77777777" w:rsidR="00F720CE" w:rsidRPr="00BA612C" w:rsidRDefault="00F720CE" w:rsidP="002723EC">
      <w:pPr>
        <w:rPr>
          <w:lang w:eastAsia="en-GB"/>
        </w:rPr>
      </w:pPr>
    </w:p>
    <w:p w14:paraId="1C0D3AE8" w14:textId="46859AE1" w:rsidR="00251741" w:rsidRPr="00BA612C" w:rsidRDefault="00251741" w:rsidP="002723EC">
      <w:pPr>
        <w:rPr>
          <w:lang w:eastAsia="en-GB"/>
        </w:rPr>
      </w:pPr>
      <w:r w:rsidRPr="00BA612C">
        <w:rPr>
          <w:lang w:eastAsia="en-GB"/>
        </w:rPr>
        <w:t>The main aspects with regard to disability issues in the country report are</w:t>
      </w:r>
      <w:r w:rsidR="00424795" w:rsidRPr="00BA612C">
        <w:rPr>
          <w:lang w:eastAsia="en-GB"/>
        </w:rPr>
        <w:t>:</w:t>
      </w:r>
    </w:p>
    <w:p w14:paraId="463DAAE0" w14:textId="77777777" w:rsidR="00251741" w:rsidRPr="00BA612C" w:rsidRDefault="00251741" w:rsidP="002723EC">
      <w:pPr>
        <w:rPr>
          <w:lang w:eastAsia="en-GB"/>
        </w:rPr>
      </w:pPr>
    </w:p>
    <w:p w14:paraId="5F42455C" w14:textId="1EC0E08A" w:rsidR="00251741" w:rsidRPr="00BA612C" w:rsidRDefault="00251741" w:rsidP="006464CE">
      <w:pPr>
        <w:pStyle w:val="ListParagraph"/>
        <w:numPr>
          <w:ilvl w:val="0"/>
          <w:numId w:val="35"/>
        </w:numPr>
        <w:ind w:left="567" w:hanging="567"/>
        <w:rPr>
          <w:lang w:eastAsia="en-GB"/>
        </w:rPr>
      </w:pPr>
      <w:r w:rsidRPr="00BA612C">
        <w:rPr>
          <w:lang w:eastAsia="en-GB"/>
        </w:rPr>
        <w:t>A lack of specific reference to young people and adults with disabilities as a distinct target group for measures and programmes.</w:t>
      </w:r>
    </w:p>
    <w:p w14:paraId="177D46B2" w14:textId="74169EB2" w:rsidR="00251741" w:rsidRPr="00BA612C" w:rsidRDefault="00CC0FA8" w:rsidP="006464CE">
      <w:pPr>
        <w:pStyle w:val="ListParagraph"/>
        <w:numPr>
          <w:ilvl w:val="0"/>
          <w:numId w:val="35"/>
        </w:numPr>
        <w:ind w:left="567" w:hanging="567"/>
        <w:rPr>
          <w:lang w:eastAsia="en-GB"/>
        </w:rPr>
      </w:pPr>
      <w:r w:rsidRPr="00BA612C">
        <w:rPr>
          <w:lang w:eastAsia="en-GB"/>
        </w:rPr>
        <w:t xml:space="preserve">The CR mentions that the business environment is not always adapted to the employment of older workers (p. 56). This is also true for persons with disabilities in general. As already mentioned in section </w:t>
      </w:r>
      <w:r w:rsidR="00C42967" w:rsidRPr="00BA612C">
        <w:rPr>
          <w:lang w:eastAsia="en-GB"/>
        </w:rPr>
        <w:t>4.1. a recent study confirms that workplaces are not adapted to meet the needs of persons with psychosocial disabilities</w:t>
      </w:r>
      <w:r w:rsidR="00EF36EB" w:rsidRPr="00BA612C">
        <w:rPr>
          <w:lang w:eastAsia="en-GB"/>
        </w:rPr>
        <w:t>.</w:t>
      </w:r>
    </w:p>
    <w:p w14:paraId="0475E97C" w14:textId="44157072" w:rsidR="00EF36EB" w:rsidRPr="00BA612C" w:rsidRDefault="00EF36EB" w:rsidP="006464CE">
      <w:pPr>
        <w:pStyle w:val="ListParagraph"/>
        <w:numPr>
          <w:ilvl w:val="0"/>
          <w:numId w:val="35"/>
        </w:numPr>
        <w:ind w:left="567" w:hanging="567"/>
        <w:rPr>
          <w:lang w:eastAsia="en-GB"/>
        </w:rPr>
      </w:pPr>
      <w:r w:rsidRPr="00BA612C">
        <w:rPr>
          <w:lang w:eastAsia="en-GB"/>
        </w:rPr>
        <w:t>The CR seems to overestimate the positive effect of the newly introduced rehabilitation benefit. As already mentioned in section 4.1. data available indicates failures and distinct weaknesses of this measure. The effect is much more long</w:t>
      </w:r>
      <w:r w:rsidR="004510F3" w:rsidRPr="00BA612C">
        <w:rPr>
          <w:lang w:eastAsia="en-GB"/>
        </w:rPr>
        <w:t>-</w:t>
      </w:r>
      <w:r w:rsidRPr="00BA612C">
        <w:rPr>
          <w:lang w:eastAsia="en-GB"/>
        </w:rPr>
        <w:t>term unemployment that remaining active in the labour market.</w:t>
      </w:r>
    </w:p>
    <w:p w14:paraId="09420E6E" w14:textId="5635E5ED" w:rsidR="00EF36EB" w:rsidRPr="00BA612C" w:rsidRDefault="00EF36EB" w:rsidP="006464CE">
      <w:pPr>
        <w:pStyle w:val="ListParagraph"/>
        <w:numPr>
          <w:ilvl w:val="0"/>
          <w:numId w:val="35"/>
        </w:numPr>
        <w:ind w:left="567" w:hanging="567"/>
        <w:rPr>
          <w:lang w:eastAsia="en-GB"/>
        </w:rPr>
      </w:pPr>
      <w:r w:rsidRPr="00BA612C">
        <w:rPr>
          <w:lang w:eastAsia="en-GB"/>
        </w:rPr>
        <w:t>The CR does not mention persons with disabilities as a target group for labour market activities.</w:t>
      </w:r>
    </w:p>
    <w:p w14:paraId="47185A8E" w14:textId="1D685EF0" w:rsidR="00EF36EB" w:rsidRPr="00BA612C" w:rsidRDefault="00EF36EB" w:rsidP="006464CE">
      <w:pPr>
        <w:pStyle w:val="ListParagraph"/>
        <w:numPr>
          <w:ilvl w:val="0"/>
          <w:numId w:val="35"/>
        </w:numPr>
        <w:ind w:left="567" w:hanging="567"/>
        <w:rPr>
          <w:lang w:eastAsia="en-GB"/>
        </w:rPr>
      </w:pPr>
      <w:r w:rsidRPr="00BA612C">
        <w:rPr>
          <w:lang w:eastAsia="en-GB"/>
        </w:rPr>
        <w:t xml:space="preserve">Problems for persons with </w:t>
      </w:r>
      <w:r w:rsidR="00B62F44" w:rsidRPr="00BA612C">
        <w:rPr>
          <w:lang w:eastAsia="en-GB"/>
        </w:rPr>
        <w:t xml:space="preserve">a </w:t>
      </w:r>
      <w:r w:rsidRPr="00BA612C">
        <w:rPr>
          <w:lang w:eastAsia="en-GB"/>
        </w:rPr>
        <w:t>migration background on the Austrian labour market are discussed in detail (p. 57ff), like discrimination, however, labour market issues for persons with disabilities are not mentioned at all.</w:t>
      </w:r>
    </w:p>
    <w:p w14:paraId="374581FD" w14:textId="53A8CBB4" w:rsidR="00A6269B" w:rsidRPr="00BA612C" w:rsidRDefault="00EF36EB" w:rsidP="006464CE">
      <w:pPr>
        <w:pStyle w:val="ListParagraph"/>
        <w:numPr>
          <w:ilvl w:val="0"/>
          <w:numId w:val="35"/>
        </w:numPr>
        <w:ind w:left="567" w:hanging="567"/>
        <w:rPr>
          <w:lang w:eastAsia="en-GB"/>
        </w:rPr>
      </w:pPr>
      <w:r w:rsidRPr="00BA612C">
        <w:rPr>
          <w:lang w:eastAsia="en-GB"/>
        </w:rPr>
        <w:t>The tightening of access to long term-care cash benefits has distinct negative effects particularly for persons with intellectual or sensory impairments</w:t>
      </w:r>
      <w:r w:rsidR="00A6269B" w:rsidRPr="00BA612C">
        <w:rPr>
          <w:lang w:eastAsia="en-GB"/>
        </w:rPr>
        <w:t xml:space="preserve"> (p. 60) as they may now loose entitlement to this benefit which increases their poverty-risk and their risk for social exclusion. This is particularly critical for men and women with intellectual disabilities who are in sheltered workshops with social security schemes. There is a complete lack of data on the living situation of this particular group of people as well as on people living in institutions. </w:t>
      </w:r>
    </w:p>
    <w:p w14:paraId="36CEE56E" w14:textId="7DC216D8" w:rsidR="00EF36EB" w:rsidRPr="00BA612C" w:rsidRDefault="00A6269B" w:rsidP="006464CE">
      <w:pPr>
        <w:pStyle w:val="ListParagraph"/>
        <w:numPr>
          <w:ilvl w:val="0"/>
          <w:numId w:val="35"/>
        </w:numPr>
        <w:ind w:left="567" w:hanging="567"/>
        <w:rPr>
          <w:lang w:eastAsia="en-GB"/>
        </w:rPr>
      </w:pPr>
      <w:r w:rsidRPr="00BA612C">
        <w:rPr>
          <w:lang w:eastAsia="en-GB"/>
        </w:rPr>
        <w:t>Children, young people and adults with disabilities are not mentioned in the section on education of the CR. There is no reference to the negative effect of special schools.</w:t>
      </w:r>
    </w:p>
    <w:p w14:paraId="39B75B0A" w14:textId="1ACA1AF8" w:rsidR="006B7206" w:rsidRPr="00BA612C" w:rsidRDefault="00A6269B" w:rsidP="002723EC">
      <w:pPr>
        <w:pStyle w:val="ListParagraph"/>
        <w:numPr>
          <w:ilvl w:val="0"/>
          <w:numId w:val="35"/>
        </w:numPr>
        <w:ind w:left="567" w:hanging="567"/>
        <w:rPr>
          <w:lang w:eastAsia="en-GB"/>
        </w:rPr>
      </w:pPr>
      <w:r w:rsidRPr="00BA612C">
        <w:rPr>
          <w:lang w:eastAsia="en-GB"/>
        </w:rPr>
        <w:t>The CR includes a distinct chapter on integration of persons with migration background and refugees, however, the integration of persons with disabilities is no issue at all.</w:t>
      </w:r>
    </w:p>
    <w:p w14:paraId="4A2C5F8E" w14:textId="09B4F10D" w:rsidR="006B7206" w:rsidRPr="00BA612C" w:rsidRDefault="006B7206" w:rsidP="002723EC">
      <w:pPr>
        <w:pStyle w:val="Heading1"/>
        <w:rPr>
          <w:szCs w:val="24"/>
          <w:lang w:eastAsia="en-GB"/>
        </w:rPr>
      </w:pPr>
      <w:bookmarkStart w:id="49" w:name="_Toc429999655"/>
      <w:bookmarkStart w:id="50" w:name="_Toc483400189"/>
      <w:r w:rsidRPr="00BA612C">
        <w:rPr>
          <w:szCs w:val="24"/>
          <w:lang w:eastAsia="en-GB"/>
        </w:rPr>
        <w:t>Assessment of the structural funds ESIF 2014-2020 or other relevant funds</w:t>
      </w:r>
      <w:r w:rsidR="001335A3" w:rsidRPr="00BA612C">
        <w:rPr>
          <w:szCs w:val="24"/>
        </w:rPr>
        <w:t xml:space="preserve"> </w:t>
      </w:r>
      <w:r w:rsidR="001335A3" w:rsidRPr="00BA612C">
        <w:rPr>
          <w:szCs w:val="24"/>
          <w:lang w:eastAsia="en-GB"/>
        </w:rPr>
        <w:t>in relation to disability challenges</w:t>
      </w:r>
      <w:bookmarkEnd w:id="49"/>
      <w:bookmarkEnd w:id="50"/>
    </w:p>
    <w:p w14:paraId="6586948B" w14:textId="77777777" w:rsidR="003E592A" w:rsidRPr="00BA612C" w:rsidRDefault="003E592A" w:rsidP="002723EC">
      <w:pPr>
        <w:rPr>
          <w:lang w:eastAsia="en-GB"/>
        </w:rPr>
      </w:pPr>
    </w:p>
    <w:p w14:paraId="30FABCAE" w14:textId="56859854" w:rsidR="003E592A" w:rsidRPr="00BA612C" w:rsidRDefault="003E592A" w:rsidP="002723EC">
      <w:pPr>
        <w:rPr>
          <w:rFonts w:eastAsia="Calibri"/>
        </w:rPr>
      </w:pPr>
      <w:r w:rsidRPr="00BA612C">
        <w:rPr>
          <w:rFonts w:eastAsia="Calibri"/>
        </w:rPr>
        <w:t>As stated in the 2014 report, pe</w:t>
      </w:r>
      <w:r w:rsidR="00096871" w:rsidRPr="00BA612C">
        <w:rPr>
          <w:rFonts w:eastAsia="Calibri"/>
        </w:rPr>
        <w:t>rsons</w:t>
      </w:r>
      <w:r w:rsidRPr="00BA612C">
        <w:rPr>
          <w:rFonts w:eastAsia="Calibri"/>
        </w:rPr>
        <w:t xml:space="preserve"> with disabilities are mentioned explicitly in the ESF programme 2014-2020</w:t>
      </w:r>
      <w:r w:rsidR="00D01F2B" w:rsidRPr="00BA612C">
        <w:rPr>
          <w:rFonts w:eastAsia="Calibri"/>
        </w:rPr>
        <w:t>.</w:t>
      </w:r>
      <w:r w:rsidRPr="00BA612C">
        <w:rPr>
          <w:rFonts w:eastAsia="Calibri"/>
          <w:vertAlign w:val="superscript"/>
        </w:rPr>
        <w:footnoteReference w:id="56"/>
      </w:r>
      <w:r w:rsidRPr="00BA612C">
        <w:rPr>
          <w:rFonts w:eastAsia="Calibri"/>
        </w:rPr>
        <w:t xml:space="preserve"> The focus is on the following issues and measures:</w:t>
      </w:r>
    </w:p>
    <w:p w14:paraId="1947953D" w14:textId="77777777" w:rsidR="00032FAA" w:rsidRPr="00BA612C" w:rsidRDefault="00032FAA" w:rsidP="002723EC">
      <w:pPr>
        <w:rPr>
          <w:rFonts w:eastAsia="Calibri"/>
        </w:rPr>
      </w:pPr>
    </w:p>
    <w:p w14:paraId="1E2521F9" w14:textId="77777777" w:rsidR="003E592A" w:rsidRPr="00BA612C" w:rsidRDefault="003E592A" w:rsidP="002723EC">
      <w:pPr>
        <w:numPr>
          <w:ilvl w:val="0"/>
          <w:numId w:val="25"/>
        </w:numPr>
        <w:ind w:left="567" w:hanging="567"/>
        <w:contextualSpacing/>
        <w:rPr>
          <w:rFonts w:eastAsia="Calibri"/>
        </w:rPr>
      </w:pPr>
      <w:r w:rsidRPr="00BA612C">
        <w:rPr>
          <w:rFonts w:eastAsia="Calibri"/>
        </w:rPr>
        <w:t>The ESF 2014-2020 programme mentions persons with disabilities as a population that is particularly at risk of poverty (p. 7).</w:t>
      </w:r>
    </w:p>
    <w:p w14:paraId="1195213B" w14:textId="77777777" w:rsidR="003E592A" w:rsidRPr="00BA612C" w:rsidRDefault="003E592A" w:rsidP="002723EC">
      <w:pPr>
        <w:numPr>
          <w:ilvl w:val="0"/>
          <w:numId w:val="25"/>
        </w:numPr>
        <w:ind w:left="567" w:hanging="567"/>
        <w:contextualSpacing/>
        <w:rPr>
          <w:rFonts w:eastAsia="Calibri"/>
        </w:rPr>
      </w:pPr>
      <w:r w:rsidRPr="00BA612C">
        <w:rPr>
          <w:rFonts w:eastAsia="Calibri"/>
        </w:rPr>
        <w:t>Students with disabilities are mentioned among those for whom measures to prevent early school leaving shall be established (p. 10).</w:t>
      </w:r>
    </w:p>
    <w:p w14:paraId="21288AC2" w14:textId="2C9836F5" w:rsidR="003E592A" w:rsidRPr="00BA612C" w:rsidRDefault="006464CE" w:rsidP="002723EC">
      <w:pPr>
        <w:numPr>
          <w:ilvl w:val="0"/>
          <w:numId w:val="25"/>
        </w:numPr>
        <w:ind w:left="567" w:hanging="567"/>
        <w:contextualSpacing/>
        <w:rPr>
          <w:rFonts w:eastAsia="Calibri"/>
        </w:rPr>
      </w:pPr>
      <w:r w:rsidRPr="00BA612C">
        <w:rPr>
          <w:rFonts w:eastAsia="Calibri"/>
        </w:rPr>
        <w:t xml:space="preserve">Specific target 09 (p. 24): </w:t>
      </w:r>
      <w:r w:rsidR="003E592A" w:rsidRPr="00BA612C">
        <w:rPr>
          <w:rFonts w:eastAsia="Calibri"/>
        </w:rPr>
        <w:t>support for integrated vocational training for young people with disabilities</w:t>
      </w:r>
      <w:r w:rsidR="0047358E" w:rsidRPr="00BA612C">
        <w:rPr>
          <w:rFonts w:eastAsia="Calibri"/>
        </w:rPr>
        <w:t>.</w:t>
      </w:r>
    </w:p>
    <w:p w14:paraId="2B600267" w14:textId="4FA743F9" w:rsidR="003E592A" w:rsidRPr="00BA612C" w:rsidRDefault="003E592A" w:rsidP="002723EC">
      <w:pPr>
        <w:numPr>
          <w:ilvl w:val="0"/>
          <w:numId w:val="25"/>
        </w:numPr>
        <w:ind w:left="567" w:hanging="567"/>
        <w:contextualSpacing/>
        <w:rPr>
          <w:rFonts w:eastAsia="Calibri"/>
        </w:rPr>
      </w:pPr>
      <w:r w:rsidRPr="00BA612C">
        <w:rPr>
          <w:rFonts w:eastAsia="Calibri"/>
        </w:rPr>
        <w:t>Specific target 18 (p. 25): support for qualification and training of higher quality for young people with disabilities</w:t>
      </w:r>
      <w:r w:rsidR="0047358E" w:rsidRPr="00BA612C">
        <w:rPr>
          <w:rFonts w:eastAsia="Calibri"/>
        </w:rPr>
        <w:t>.</w:t>
      </w:r>
    </w:p>
    <w:p w14:paraId="1D48FFAA" w14:textId="5EE797C6" w:rsidR="003E592A" w:rsidRPr="00BA612C" w:rsidRDefault="003E592A" w:rsidP="002723EC">
      <w:pPr>
        <w:numPr>
          <w:ilvl w:val="0"/>
          <w:numId w:val="25"/>
        </w:numPr>
        <w:ind w:left="567" w:hanging="567"/>
        <w:contextualSpacing/>
        <w:rPr>
          <w:rFonts w:eastAsia="Calibri"/>
        </w:rPr>
      </w:pPr>
      <w:r w:rsidRPr="00BA612C">
        <w:rPr>
          <w:rFonts w:eastAsia="Calibri"/>
        </w:rPr>
        <w:t>Basic principles include the consideration of women with disabilities; accessibility must be provided for by those who carry out projects (p. 36)</w:t>
      </w:r>
      <w:r w:rsidR="0047358E" w:rsidRPr="00BA612C">
        <w:rPr>
          <w:rFonts w:eastAsia="Calibri"/>
        </w:rPr>
        <w:t>.</w:t>
      </w:r>
    </w:p>
    <w:p w14:paraId="1484D2DC" w14:textId="75B66B7B" w:rsidR="003E592A" w:rsidRPr="00BA612C" w:rsidRDefault="003E592A" w:rsidP="002723EC">
      <w:pPr>
        <w:numPr>
          <w:ilvl w:val="0"/>
          <w:numId w:val="25"/>
        </w:numPr>
        <w:ind w:left="567" w:hanging="567"/>
        <w:contextualSpacing/>
        <w:rPr>
          <w:rFonts w:eastAsia="Calibri"/>
        </w:rPr>
      </w:pPr>
      <w:r w:rsidRPr="00BA612C">
        <w:rPr>
          <w:rFonts w:eastAsia="Calibri"/>
        </w:rPr>
        <w:t>Equal chances and anti</w:t>
      </w:r>
      <w:r w:rsidR="003C4283" w:rsidRPr="00BA612C">
        <w:rPr>
          <w:rFonts w:eastAsia="Calibri"/>
        </w:rPr>
        <w:t>-</w:t>
      </w:r>
      <w:r w:rsidRPr="00BA612C">
        <w:rPr>
          <w:rFonts w:eastAsia="Calibri"/>
        </w:rPr>
        <w:t>discrimination on the grounds of disabilities are included as basic principles (p. 230)</w:t>
      </w:r>
      <w:r w:rsidR="0047358E" w:rsidRPr="00BA612C">
        <w:rPr>
          <w:rFonts w:eastAsia="Calibri"/>
        </w:rPr>
        <w:t>.</w:t>
      </w:r>
    </w:p>
    <w:p w14:paraId="4699FAF1" w14:textId="724644BE" w:rsidR="003E592A" w:rsidRPr="00BA612C" w:rsidRDefault="003E592A" w:rsidP="002723EC">
      <w:pPr>
        <w:numPr>
          <w:ilvl w:val="0"/>
          <w:numId w:val="25"/>
        </w:numPr>
        <w:ind w:left="567" w:hanging="567"/>
        <w:contextualSpacing/>
        <w:rPr>
          <w:rFonts w:eastAsia="Calibri"/>
        </w:rPr>
      </w:pPr>
      <w:r w:rsidRPr="00BA612C">
        <w:rPr>
          <w:rFonts w:eastAsia="Calibri"/>
        </w:rPr>
        <w:t>Disability is “mainstreamed” meaning that disability is considered a cross-cutting issue (p. 231)</w:t>
      </w:r>
      <w:r w:rsidR="0047358E" w:rsidRPr="00BA612C">
        <w:rPr>
          <w:rFonts w:eastAsia="Calibri"/>
        </w:rPr>
        <w:t>.</w:t>
      </w:r>
    </w:p>
    <w:p w14:paraId="1C3CD229" w14:textId="0CC81EFE" w:rsidR="003E592A" w:rsidRPr="00BA612C" w:rsidRDefault="003E592A" w:rsidP="002723EC">
      <w:pPr>
        <w:numPr>
          <w:ilvl w:val="0"/>
          <w:numId w:val="25"/>
        </w:numPr>
        <w:ind w:left="567" w:hanging="567"/>
        <w:contextualSpacing/>
        <w:rPr>
          <w:rFonts w:eastAsia="Calibri"/>
        </w:rPr>
      </w:pPr>
      <w:r w:rsidRPr="00BA612C">
        <w:rPr>
          <w:rFonts w:eastAsia="Calibri"/>
        </w:rPr>
        <w:t>Accessibility for persons with disabilities is a guiding principle (p. 232)</w:t>
      </w:r>
      <w:r w:rsidR="0047358E" w:rsidRPr="00BA612C">
        <w:rPr>
          <w:rFonts w:eastAsia="Calibri"/>
        </w:rPr>
        <w:t>.</w:t>
      </w:r>
    </w:p>
    <w:p w14:paraId="645723DE" w14:textId="77777777" w:rsidR="003E592A" w:rsidRPr="00BA612C" w:rsidRDefault="003E592A" w:rsidP="002723EC">
      <w:pPr>
        <w:rPr>
          <w:rFonts w:eastAsia="Calibri"/>
        </w:rPr>
      </w:pPr>
    </w:p>
    <w:p w14:paraId="7E07E598" w14:textId="77777777" w:rsidR="003E592A" w:rsidRPr="00BA612C" w:rsidRDefault="003E592A" w:rsidP="002723EC">
      <w:pPr>
        <w:rPr>
          <w:rFonts w:eastAsia="Calibri"/>
        </w:rPr>
      </w:pPr>
      <w:r w:rsidRPr="00BA612C">
        <w:rPr>
          <w:rFonts w:eastAsia="Calibri"/>
        </w:rPr>
        <w:t>Use of ESI Funds:</w:t>
      </w:r>
    </w:p>
    <w:p w14:paraId="531463AB" w14:textId="77777777" w:rsidR="00485B54" w:rsidRPr="00BA612C" w:rsidRDefault="00485B54" w:rsidP="002723EC">
      <w:pPr>
        <w:rPr>
          <w:rFonts w:eastAsia="Calibri"/>
        </w:rPr>
      </w:pPr>
    </w:p>
    <w:p w14:paraId="1B79135E" w14:textId="2EB40377" w:rsidR="001B6760" w:rsidRPr="00BA612C" w:rsidRDefault="001B6760" w:rsidP="002723EC">
      <w:pPr>
        <w:rPr>
          <w:rFonts w:eastAsia="Calibri"/>
        </w:rPr>
      </w:pPr>
      <w:r w:rsidRPr="00BA612C">
        <w:rPr>
          <w:rFonts w:eastAsia="Calibri"/>
        </w:rPr>
        <w:t>I</w:t>
      </w:r>
      <w:r w:rsidR="00FC69CD" w:rsidRPr="00BA612C">
        <w:rPr>
          <w:rFonts w:eastAsia="Calibri"/>
        </w:rPr>
        <w:t>n</w:t>
      </w:r>
      <w:r w:rsidRPr="00BA612C">
        <w:rPr>
          <w:rFonts w:eastAsia="Calibri"/>
        </w:rPr>
        <w:t xml:space="preserve"> </w:t>
      </w:r>
      <w:r w:rsidR="001A3CB0" w:rsidRPr="00BA612C">
        <w:rPr>
          <w:rFonts w:eastAsia="Calibri"/>
        </w:rPr>
        <w:t xml:space="preserve">our </w:t>
      </w:r>
      <w:r w:rsidRPr="00BA612C">
        <w:rPr>
          <w:rFonts w:eastAsia="Calibri"/>
        </w:rPr>
        <w:t>2015</w:t>
      </w:r>
      <w:r w:rsidR="001A3CB0" w:rsidRPr="00BA612C">
        <w:rPr>
          <w:rFonts w:eastAsia="Calibri"/>
        </w:rPr>
        <w:t xml:space="preserve"> report</w:t>
      </w:r>
      <w:r w:rsidRPr="00BA612C">
        <w:rPr>
          <w:rFonts w:eastAsia="Calibri"/>
        </w:rPr>
        <w:t>, we presented a detailed analysis of two main projects that are currently co-financed by ESF in Austria: youth coaching and production</w:t>
      </w:r>
      <w:r w:rsidR="00CF75AC" w:rsidRPr="00BA612C">
        <w:rPr>
          <w:rFonts w:eastAsia="Calibri"/>
        </w:rPr>
        <w:t xml:space="preserve"> </w:t>
      </w:r>
      <w:r w:rsidRPr="00BA612C">
        <w:rPr>
          <w:rFonts w:eastAsia="Calibri"/>
        </w:rPr>
        <w:t xml:space="preserve">schools. </w:t>
      </w:r>
      <w:r w:rsidR="005A51F4" w:rsidRPr="00BA612C">
        <w:rPr>
          <w:rFonts w:eastAsia="Calibri"/>
        </w:rPr>
        <w:t>As already mentioned in 2015, youth coaching directly recommends sheltered workshops to young people. According to the annual report, 738 young persons were advised to attend a sheltered workshop, this amounts to 3% of all participants.</w:t>
      </w:r>
      <w:r w:rsidR="005A51F4" w:rsidRPr="00BA612C">
        <w:rPr>
          <w:rStyle w:val="FootnoteReference"/>
          <w:rFonts w:eastAsia="Calibri"/>
        </w:rPr>
        <w:footnoteReference w:id="57"/>
      </w:r>
      <w:r w:rsidR="005A51F4" w:rsidRPr="00BA612C">
        <w:rPr>
          <w:rFonts w:eastAsia="Calibri"/>
        </w:rPr>
        <w:t xml:space="preserve"> This does neither support the qualification nor the inclusion of young people with disabilities into the general labour market</w:t>
      </w:r>
      <w:r w:rsidR="00CF75AC" w:rsidRPr="00BA612C">
        <w:rPr>
          <w:rFonts w:eastAsia="Calibri"/>
        </w:rPr>
        <w:t>. Refe</w:t>
      </w:r>
      <w:r w:rsidR="000D42FA" w:rsidRPr="00BA612C">
        <w:rPr>
          <w:rFonts w:eastAsia="Calibri"/>
        </w:rPr>
        <w:t>r</w:t>
      </w:r>
      <w:r w:rsidR="00CF75AC" w:rsidRPr="00BA612C">
        <w:rPr>
          <w:rFonts w:eastAsia="Calibri"/>
        </w:rPr>
        <w:t>ring</w:t>
      </w:r>
      <w:r w:rsidR="000C41B7" w:rsidRPr="00BA612C">
        <w:rPr>
          <w:rFonts w:eastAsia="Calibri"/>
        </w:rPr>
        <w:t xml:space="preserve"> to</w:t>
      </w:r>
      <w:r w:rsidR="00CF75AC" w:rsidRPr="00BA612C">
        <w:rPr>
          <w:rFonts w:eastAsia="Calibri"/>
        </w:rPr>
        <w:t xml:space="preserve"> young persons with disabilities </w:t>
      </w:r>
      <w:r w:rsidR="00904736" w:rsidRPr="00BA612C">
        <w:rPr>
          <w:rFonts w:eastAsia="Calibri"/>
        </w:rPr>
        <w:t>in</w:t>
      </w:r>
      <w:r w:rsidR="00CF75AC" w:rsidRPr="00BA612C">
        <w:rPr>
          <w:rFonts w:eastAsia="Calibri"/>
        </w:rPr>
        <w:t xml:space="preserve"> sheltered workshops</w:t>
      </w:r>
      <w:r w:rsidR="00904736" w:rsidRPr="00BA612C">
        <w:rPr>
          <w:rFonts w:eastAsia="Calibri"/>
        </w:rPr>
        <w:t>, this</w:t>
      </w:r>
      <w:r w:rsidR="00CF75AC" w:rsidRPr="00BA612C">
        <w:rPr>
          <w:rFonts w:eastAsia="Calibri"/>
        </w:rPr>
        <w:t xml:space="preserve"> increases their risk of social exclusion, poverty and lifelong dependency on social security.</w:t>
      </w:r>
    </w:p>
    <w:p w14:paraId="0C3E304B" w14:textId="77777777" w:rsidR="00CF75AC" w:rsidRPr="00BA612C" w:rsidRDefault="00CF75AC" w:rsidP="002723EC">
      <w:pPr>
        <w:rPr>
          <w:rFonts w:eastAsia="Calibri"/>
          <w:highlight w:val="yellow"/>
        </w:rPr>
      </w:pPr>
    </w:p>
    <w:p w14:paraId="124ADF17" w14:textId="2CE275BB" w:rsidR="001B6760" w:rsidRPr="00BA612C" w:rsidRDefault="00CF75AC" w:rsidP="002723EC">
      <w:pPr>
        <w:rPr>
          <w:rFonts w:eastAsia="Calibri"/>
        </w:rPr>
      </w:pPr>
      <w:r w:rsidRPr="00BA612C">
        <w:rPr>
          <w:rFonts w:eastAsia="Calibri"/>
        </w:rPr>
        <w:t>With the information available on official websites of the ESI funds</w:t>
      </w:r>
      <w:r w:rsidRPr="00BA612C">
        <w:rPr>
          <w:rStyle w:val="FootnoteReference"/>
          <w:rFonts w:eastAsia="Calibri"/>
        </w:rPr>
        <w:footnoteReference w:id="58"/>
      </w:r>
      <w:r w:rsidRPr="00BA612C">
        <w:rPr>
          <w:rFonts w:eastAsia="Calibri"/>
        </w:rPr>
        <w:t xml:space="preserve"> it is impossible to assess their use with a focus on persons with disabilities. There are neither comprehensive lists of all projects co-funded by ESI funds nor enough information on any particular disability issues available. Only a few individual projects are presented and it is not possible to assess the overall use of ESI funds on the basis of a few projects. </w:t>
      </w:r>
      <w:r w:rsidR="002E4853" w:rsidRPr="00BA612C">
        <w:rPr>
          <w:rFonts w:eastAsia="Calibri"/>
        </w:rPr>
        <w:t>On the basis of the scarce information available</w:t>
      </w:r>
      <w:r w:rsidRPr="00BA612C">
        <w:rPr>
          <w:rFonts w:eastAsia="Calibri"/>
        </w:rPr>
        <w:t xml:space="preserve"> we are worried that ESI funds are used to co-finance sheltered workshop kind of projects</w:t>
      </w:r>
      <w:r w:rsidR="002E4853" w:rsidRPr="00BA612C">
        <w:rPr>
          <w:rFonts w:eastAsia="Calibri"/>
        </w:rPr>
        <w:t xml:space="preserve">. As an example. this </w:t>
      </w:r>
      <w:r w:rsidRPr="00BA612C">
        <w:rPr>
          <w:rFonts w:eastAsia="Calibri"/>
        </w:rPr>
        <w:t xml:space="preserve">seems to be the case with </w:t>
      </w:r>
      <w:r w:rsidR="002E4853" w:rsidRPr="00BA612C">
        <w:rPr>
          <w:rFonts w:eastAsia="Calibri"/>
        </w:rPr>
        <w:t xml:space="preserve">resources of the </w:t>
      </w:r>
      <w:r w:rsidRPr="00BA612C">
        <w:rPr>
          <w:rFonts w:eastAsia="Calibri"/>
        </w:rPr>
        <w:t xml:space="preserve">European Agricultural Fund for Rural Development </w:t>
      </w:r>
      <w:r w:rsidR="002E4853" w:rsidRPr="00BA612C">
        <w:rPr>
          <w:rFonts w:eastAsia="Calibri"/>
        </w:rPr>
        <w:t>in so called Green Care projects where farming and gardening activities for persons with disabilities are provided as an innovative approach to sheltered workshops. However, persons with disabilities are not properly employed but only receive pocket money.</w:t>
      </w:r>
      <w:r w:rsidR="002E4853" w:rsidRPr="00BA612C">
        <w:rPr>
          <w:rStyle w:val="FootnoteReference"/>
          <w:rFonts w:eastAsia="Calibri"/>
        </w:rPr>
        <w:footnoteReference w:id="59"/>
      </w:r>
      <w:r w:rsidR="002E4853" w:rsidRPr="00BA612C">
        <w:rPr>
          <w:rFonts w:eastAsia="Calibri"/>
        </w:rPr>
        <w:t xml:space="preserve"> </w:t>
      </w:r>
    </w:p>
    <w:p w14:paraId="45538FAE" w14:textId="77777777" w:rsidR="006B7206" w:rsidRPr="00BA612C" w:rsidRDefault="006B7206" w:rsidP="002723EC">
      <w:pPr>
        <w:pStyle w:val="Heading1"/>
        <w:rPr>
          <w:szCs w:val="24"/>
          <w:lang w:eastAsia="en-GB"/>
        </w:rPr>
      </w:pPr>
      <w:bookmarkStart w:id="51" w:name="_Toc429999656"/>
      <w:bookmarkStart w:id="52" w:name="_Toc483400190"/>
      <w:r w:rsidRPr="00BA612C">
        <w:rPr>
          <w:szCs w:val="24"/>
          <w:lang w:eastAsia="en-GB"/>
        </w:rPr>
        <w:t>Recommendations</w:t>
      </w:r>
      <w:bookmarkEnd w:id="51"/>
      <w:bookmarkEnd w:id="52"/>
    </w:p>
    <w:p w14:paraId="0CFDF91F" w14:textId="77777777" w:rsidR="00775D90" w:rsidRPr="00BA612C" w:rsidRDefault="00775D90" w:rsidP="002723EC">
      <w:pPr>
        <w:rPr>
          <w:lang w:eastAsia="en-GB"/>
        </w:rPr>
      </w:pPr>
    </w:p>
    <w:p w14:paraId="18C042F3" w14:textId="4A7D25DF" w:rsidR="003E1214" w:rsidRPr="00BA612C" w:rsidRDefault="00797C0C" w:rsidP="002723EC">
      <w:pPr>
        <w:rPr>
          <w:lang w:eastAsia="en-GB"/>
        </w:rPr>
      </w:pPr>
      <w:r w:rsidRPr="00BA612C">
        <w:rPr>
          <w:lang w:eastAsia="en-GB"/>
        </w:rPr>
        <w:t>With reference to chapter 1 (Summary), and b</w:t>
      </w:r>
      <w:r w:rsidR="003E1214" w:rsidRPr="00BA612C">
        <w:rPr>
          <w:lang w:eastAsia="en-GB"/>
        </w:rPr>
        <w:t xml:space="preserve">esides recommendations </w:t>
      </w:r>
      <w:r w:rsidR="00C7721C" w:rsidRPr="00BA612C">
        <w:rPr>
          <w:lang w:eastAsia="en-GB"/>
        </w:rPr>
        <w:t>formulat</w:t>
      </w:r>
      <w:r w:rsidR="003E1214" w:rsidRPr="00BA612C">
        <w:rPr>
          <w:lang w:eastAsia="en-GB"/>
        </w:rPr>
        <w:t xml:space="preserve">ed in the chapters above, the following general recommendations in order to change disability policies and practices with regard to persons with disabilities </w:t>
      </w:r>
      <w:r w:rsidR="005D558A" w:rsidRPr="00BA612C">
        <w:rPr>
          <w:lang w:eastAsia="en-GB"/>
        </w:rPr>
        <w:t xml:space="preserve">in Austria </w:t>
      </w:r>
      <w:r w:rsidR="00160CA5" w:rsidRPr="00BA612C">
        <w:rPr>
          <w:lang w:eastAsia="en-GB"/>
        </w:rPr>
        <w:t>are important</w:t>
      </w:r>
      <w:r w:rsidR="003E1214" w:rsidRPr="00BA612C">
        <w:rPr>
          <w:lang w:eastAsia="en-GB"/>
        </w:rPr>
        <w:t>:</w:t>
      </w:r>
    </w:p>
    <w:p w14:paraId="15B3AC1E" w14:textId="77777777" w:rsidR="007F1812" w:rsidRPr="00BA612C" w:rsidRDefault="007F1812" w:rsidP="002723EC">
      <w:pPr>
        <w:rPr>
          <w:lang w:eastAsia="en-GB"/>
        </w:rPr>
      </w:pPr>
    </w:p>
    <w:p w14:paraId="29F0366D" w14:textId="6BCD40ED" w:rsidR="005437BE" w:rsidRPr="00BA612C" w:rsidRDefault="00CA3ECE" w:rsidP="002723EC">
      <w:r w:rsidRPr="00BA612C">
        <w:rPr>
          <w:lang w:eastAsia="en-GB"/>
        </w:rPr>
        <w:t xml:space="preserve">Persons with disabilities have to be addressed as a </w:t>
      </w:r>
      <w:r w:rsidRPr="00BA612C">
        <w:rPr>
          <w:i/>
          <w:lang w:eastAsia="en-GB"/>
        </w:rPr>
        <w:t>distinct ‘target group’</w:t>
      </w:r>
      <w:r w:rsidRPr="00BA612C">
        <w:rPr>
          <w:lang w:eastAsia="en-GB"/>
        </w:rPr>
        <w:t xml:space="preserve"> for policymaking in Austria</w:t>
      </w:r>
      <w:r w:rsidR="00EB52A1" w:rsidRPr="00BA612C">
        <w:rPr>
          <w:lang w:eastAsia="en-GB"/>
        </w:rPr>
        <w:t>, not only in special programmes only for persons with disabilities like the NAP</w:t>
      </w:r>
      <w:r w:rsidR="00103E28" w:rsidRPr="00BA612C">
        <w:rPr>
          <w:lang w:eastAsia="en-GB"/>
        </w:rPr>
        <w:t xml:space="preserve"> </w:t>
      </w:r>
      <w:r w:rsidR="00775D90" w:rsidRPr="00BA612C">
        <w:rPr>
          <w:lang w:eastAsia="en-GB"/>
        </w:rPr>
        <w:t>Disability</w:t>
      </w:r>
      <w:r w:rsidR="00EB52A1" w:rsidRPr="00BA612C">
        <w:rPr>
          <w:lang w:eastAsia="en-GB"/>
        </w:rPr>
        <w:t>, but in all policy programmes and documents like the NRP</w:t>
      </w:r>
      <w:r w:rsidRPr="00BA612C">
        <w:rPr>
          <w:lang w:eastAsia="en-GB"/>
        </w:rPr>
        <w:t xml:space="preserve">. Still, disability is mainly treated as an appendix of social </w:t>
      </w:r>
      <w:r w:rsidR="00F2321A" w:rsidRPr="00BA612C">
        <w:rPr>
          <w:lang w:eastAsia="en-GB"/>
        </w:rPr>
        <w:t xml:space="preserve">policy, which leads to the situation that specific measures tailored for persons with disabilities </w:t>
      </w:r>
      <w:r w:rsidR="001332A0" w:rsidRPr="00BA612C">
        <w:rPr>
          <w:lang w:eastAsia="en-GB"/>
        </w:rPr>
        <w:t xml:space="preserve">do not exist </w:t>
      </w:r>
      <w:r w:rsidR="00B42B8D" w:rsidRPr="00BA612C">
        <w:rPr>
          <w:lang w:eastAsia="en-GB"/>
        </w:rPr>
        <w:t>on a large scale</w:t>
      </w:r>
      <w:r w:rsidR="001332A0" w:rsidRPr="00BA612C">
        <w:rPr>
          <w:lang w:eastAsia="en-GB"/>
        </w:rPr>
        <w:t xml:space="preserve">. </w:t>
      </w:r>
      <w:r w:rsidR="00AC638F" w:rsidRPr="00BA612C">
        <w:rPr>
          <w:lang w:eastAsia="en-GB"/>
        </w:rPr>
        <w:t xml:space="preserve">Specific measures need to be formulated and implemented for persons with disabilities to be able to </w:t>
      </w:r>
      <w:r w:rsidR="00C85CD1" w:rsidRPr="00BA612C">
        <w:rPr>
          <w:lang w:eastAsia="en-GB"/>
        </w:rPr>
        <w:t>overcome</w:t>
      </w:r>
      <w:r w:rsidR="00AC638F" w:rsidRPr="00BA612C">
        <w:rPr>
          <w:lang w:eastAsia="en-GB"/>
        </w:rPr>
        <w:t xml:space="preserve"> </w:t>
      </w:r>
      <w:r w:rsidR="00930181" w:rsidRPr="00BA612C">
        <w:rPr>
          <w:lang w:eastAsia="en-GB"/>
        </w:rPr>
        <w:t xml:space="preserve">disadvantaging circumstances. </w:t>
      </w:r>
      <w:r w:rsidR="005437BE" w:rsidRPr="00BA612C">
        <w:t>The change or further development of specific measures may not lead to a neglect of persons with disabilities, particularly not under the term of mainstreaming.</w:t>
      </w:r>
    </w:p>
    <w:p w14:paraId="4FD55ED7" w14:textId="77777777" w:rsidR="00DC57DF" w:rsidRPr="00BA612C" w:rsidRDefault="00DC57DF" w:rsidP="002723EC">
      <w:pPr>
        <w:rPr>
          <w:lang w:eastAsia="en-GB"/>
        </w:rPr>
      </w:pPr>
    </w:p>
    <w:p w14:paraId="05FE2C76" w14:textId="0CAE9751" w:rsidR="00FC69CD" w:rsidRPr="00BA612C" w:rsidRDefault="00BA0CD9" w:rsidP="002723EC">
      <w:pPr>
        <w:rPr>
          <w:lang w:eastAsia="en-GB"/>
        </w:rPr>
      </w:pPr>
      <w:r w:rsidRPr="00BA612C">
        <w:rPr>
          <w:i/>
          <w:lang w:eastAsia="en-GB"/>
        </w:rPr>
        <w:t>F</w:t>
      </w:r>
      <w:r w:rsidR="00DC57DF" w:rsidRPr="00BA612C">
        <w:rPr>
          <w:i/>
          <w:lang w:eastAsia="en-GB"/>
        </w:rPr>
        <w:t>ederalism</w:t>
      </w:r>
      <w:r w:rsidR="00DC57DF" w:rsidRPr="00BA612C">
        <w:rPr>
          <w:lang w:eastAsia="en-GB"/>
        </w:rPr>
        <w:t xml:space="preserve"> (a general problem in the Austrian political system) </w:t>
      </w:r>
      <w:r w:rsidR="006E69B6" w:rsidRPr="00BA612C">
        <w:rPr>
          <w:lang w:eastAsia="en-GB"/>
        </w:rPr>
        <w:t xml:space="preserve">and hence, </w:t>
      </w:r>
      <w:r w:rsidR="00763179" w:rsidRPr="00BA612C">
        <w:rPr>
          <w:lang w:eastAsia="en-GB"/>
        </w:rPr>
        <w:t xml:space="preserve">competencies and responsibilities </w:t>
      </w:r>
      <w:r w:rsidR="00376CBE" w:rsidRPr="00BA612C">
        <w:rPr>
          <w:lang w:eastAsia="en-GB"/>
        </w:rPr>
        <w:t xml:space="preserve">of </w:t>
      </w:r>
      <w:r w:rsidR="00763179" w:rsidRPr="00BA612C">
        <w:rPr>
          <w:lang w:eastAsia="en-GB"/>
        </w:rPr>
        <w:t>different political levels in Austria need to be</w:t>
      </w:r>
      <w:r w:rsidR="006E69B6" w:rsidRPr="00BA612C">
        <w:rPr>
          <w:lang w:eastAsia="en-GB"/>
        </w:rPr>
        <w:t xml:space="preserve"> </w:t>
      </w:r>
      <w:r w:rsidR="0080779A" w:rsidRPr="00BA612C">
        <w:rPr>
          <w:lang w:eastAsia="en-GB"/>
        </w:rPr>
        <w:t>rethought</w:t>
      </w:r>
      <w:r w:rsidR="001F6B23" w:rsidRPr="00BA612C">
        <w:rPr>
          <w:lang w:eastAsia="en-GB"/>
        </w:rPr>
        <w:t xml:space="preserve">, as this hinders </w:t>
      </w:r>
      <w:r w:rsidR="00566C75" w:rsidRPr="00BA612C">
        <w:rPr>
          <w:lang w:eastAsia="en-GB"/>
        </w:rPr>
        <w:t xml:space="preserve">sustainable </w:t>
      </w:r>
      <w:r w:rsidR="001F6B23" w:rsidRPr="00BA612C">
        <w:rPr>
          <w:lang w:eastAsia="en-GB"/>
        </w:rPr>
        <w:t xml:space="preserve">policymaking. </w:t>
      </w:r>
      <w:r w:rsidR="00775D90" w:rsidRPr="00BA612C">
        <w:rPr>
          <w:lang w:eastAsia="en-GB"/>
        </w:rPr>
        <w:t xml:space="preserve">With regard </w:t>
      </w:r>
      <w:r w:rsidR="00957472" w:rsidRPr="00BA612C">
        <w:rPr>
          <w:lang w:eastAsia="en-GB"/>
        </w:rPr>
        <w:t>t</w:t>
      </w:r>
      <w:r w:rsidR="00775D90" w:rsidRPr="00BA612C">
        <w:rPr>
          <w:lang w:eastAsia="en-GB"/>
        </w:rPr>
        <w:t>o provisions, regulations and services for persons with disabilities, t</w:t>
      </w:r>
      <w:r w:rsidR="00EB52A1" w:rsidRPr="00BA612C">
        <w:rPr>
          <w:lang w:eastAsia="en-GB"/>
        </w:rPr>
        <w:t>his was directly criticised by the UN</w:t>
      </w:r>
      <w:r w:rsidR="006F5500" w:rsidRPr="00BA612C">
        <w:rPr>
          <w:lang w:eastAsia="en-GB"/>
        </w:rPr>
        <w:t xml:space="preserve"> </w:t>
      </w:r>
      <w:r w:rsidR="00EB52A1" w:rsidRPr="00BA612C">
        <w:rPr>
          <w:lang w:eastAsia="en-GB"/>
        </w:rPr>
        <w:t>CRPD committee</w:t>
      </w:r>
      <w:r w:rsidR="00775D90" w:rsidRPr="00BA612C">
        <w:rPr>
          <w:lang w:eastAsia="en-GB"/>
        </w:rPr>
        <w:t xml:space="preserve">. It </w:t>
      </w:r>
      <w:r w:rsidR="00EB52A1" w:rsidRPr="00BA612C">
        <w:rPr>
          <w:lang w:eastAsia="en-GB"/>
        </w:rPr>
        <w:t>recommended in 2013: “The Committee recommends that the State party ensure that federal and regional governments consider an overarching legislative framework and policy on disability in Austria in conformity with the Convention.”</w:t>
      </w:r>
      <w:r w:rsidR="00EB52A1" w:rsidRPr="00BA612C">
        <w:rPr>
          <w:rStyle w:val="FootnoteReference"/>
          <w:lang w:eastAsia="en-GB"/>
        </w:rPr>
        <w:footnoteReference w:id="60"/>
      </w:r>
      <w:r w:rsidR="00775D90" w:rsidRPr="00BA612C">
        <w:rPr>
          <w:lang w:eastAsia="en-GB"/>
        </w:rPr>
        <w:t xml:space="preserve"> </w:t>
      </w:r>
      <w:r w:rsidR="00FC69CD" w:rsidRPr="00BA612C">
        <w:rPr>
          <w:lang w:eastAsia="en-GB"/>
        </w:rPr>
        <w:t>In its report on 2015 the Austrian ombudsman board confirms this critique and emphasizes that there are no obvious efforts to improve the situation.</w:t>
      </w:r>
      <w:r w:rsidR="00FC69CD" w:rsidRPr="00BA612C">
        <w:rPr>
          <w:rStyle w:val="FootnoteReference"/>
          <w:lang w:eastAsia="en-GB"/>
        </w:rPr>
        <w:footnoteReference w:id="61"/>
      </w:r>
      <w:r w:rsidR="00FC69CD" w:rsidRPr="00BA612C">
        <w:rPr>
          <w:lang w:eastAsia="en-GB"/>
        </w:rPr>
        <w:t xml:space="preserve"> </w:t>
      </w:r>
    </w:p>
    <w:p w14:paraId="27BBFC22" w14:textId="77777777" w:rsidR="00FC69CD" w:rsidRPr="00BA612C" w:rsidRDefault="00FC69CD" w:rsidP="002723EC">
      <w:pPr>
        <w:rPr>
          <w:lang w:eastAsia="en-GB"/>
        </w:rPr>
      </w:pPr>
    </w:p>
    <w:p w14:paraId="47A441AF" w14:textId="02FC6504" w:rsidR="00DC57DF" w:rsidRPr="00BA612C" w:rsidRDefault="00775D90" w:rsidP="002723EC">
      <w:pPr>
        <w:rPr>
          <w:lang w:eastAsia="en-GB"/>
        </w:rPr>
      </w:pPr>
      <w:r w:rsidRPr="00BA612C">
        <w:rPr>
          <w:lang w:eastAsia="en-GB"/>
        </w:rPr>
        <w:t>The use of ESF could have a much stronger focus on developing new measures to overcome federally split up competences.</w:t>
      </w:r>
    </w:p>
    <w:p w14:paraId="7FB7D9C9" w14:textId="77777777" w:rsidR="000C7D4E" w:rsidRPr="00BA612C" w:rsidRDefault="000C7D4E" w:rsidP="002723EC">
      <w:pPr>
        <w:rPr>
          <w:lang w:eastAsia="en-GB"/>
        </w:rPr>
      </w:pPr>
    </w:p>
    <w:p w14:paraId="4B2AED07" w14:textId="047F8655" w:rsidR="000C7D4E" w:rsidRPr="00BA612C" w:rsidRDefault="000C7D4E" w:rsidP="002723EC">
      <w:pPr>
        <w:rPr>
          <w:lang w:eastAsia="en-GB"/>
        </w:rPr>
      </w:pPr>
      <w:r w:rsidRPr="00BA612C">
        <w:rPr>
          <w:lang w:eastAsia="en-GB"/>
        </w:rPr>
        <w:t xml:space="preserve">Persons with disabilities and their organisations </w:t>
      </w:r>
      <w:r w:rsidR="00195249" w:rsidRPr="00BA612C">
        <w:rPr>
          <w:lang w:eastAsia="en-GB"/>
        </w:rPr>
        <w:t xml:space="preserve">have to </w:t>
      </w:r>
      <w:r w:rsidRPr="00BA612C">
        <w:rPr>
          <w:lang w:eastAsia="en-GB"/>
        </w:rPr>
        <w:t xml:space="preserve">be included in </w:t>
      </w:r>
      <w:r w:rsidRPr="00BA612C">
        <w:rPr>
          <w:i/>
          <w:lang w:eastAsia="en-GB"/>
        </w:rPr>
        <w:t xml:space="preserve">policymaking </w:t>
      </w:r>
      <w:r w:rsidR="00775D90" w:rsidRPr="00BA612C">
        <w:rPr>
          <w:lang w:eastAsia="en-GB"/>
        </w:rPr>
        <w:t>i</w:t>
      </w:r>
      <w:r w:rsidRPr="00BA612C">
        <w:rPr>
          <w:lang w:eastAsia="en-GB"/>
        </w:rPr>
        <w:t>n the field o</w:t>
      </w:r>
      <w:r w:rsidR="00CB7B1E" w:rsidRPr="00BA612C">
        <w:rPr>
          <w:lang w:eastAsia="en-GB"/>
        </w:rPr>
        <w:t xml:space="preserve">f disability policy in Austria, ranging from data collection issues to the evaluation of measures and political practices. </w:t>
      </w:r>
      <w:r w:rsidR="00DF2705" w:rsidRPr="00BA612C">
        <w:rPr>
          <w:lang w:eastAsia="en-GB"/>
        </w:rPr>
        <w:t xml:space="preserve">So far, </w:t>
      </w:r>
      <w:r w:rsidR="000F6E1E" w:rsidRPr="00BA612C">
        <w:rPr>
          <w:lang w:eastAsia="en-GB"/>
        </w:rPr>
        <w:t>participatory forms of policymaking</w:t>
      </w:r>
      <w:r w:rsidR="00DF2705" w:rsidRPr="00BA612C">
        <w:rPr>
          <w:lang w:eastAsia="en-GB"/>
        </w:rPr>
        <w:t xml:space="preserve"> do not take place in a systematic and continued way. </w:t>
      </w:r>
    </w:p>
    <w:p w14:paraId="340C3E7C" w14:textId="77777777" w:rsidR="00B373B8" w:rsidRPr="00BA612C" w:rsidRDefault="00B373B8" w:rsidP="002723EC">
      <w:pPr>
        <w:rPr>
          <w:lang w:eastAsia="en-GB"/>
        </w:rPr>
      </w:pPr>
    </w:p>
    <w:sectPr w:rsidR="00B373B8" w:rsidRPr="00BA612C" w:rsidSect="008F2CF2">
      <w:headerReference w:type="default" r:id="rId30"/>
      <w:footerReference w:type="default" r:id="rId31"/>
      <w:pgSz w:w="11906" w:h="16838"/>
      <w:pgMar w:top="1985"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9DAD3" w14:textId="77777777" w:rsidR="005A358C" w:rsidRDefault="005A358C" w:rsidP="00AF323E">
      <w:r>
        <w:separator/>
      </w:r>
    </w:p>
  </w:endnote>
  <w:endnote w:type="continuationSeparator" w:id="0">
    <w:p w14:paraId="66B59066" w14:textId="77777777" w:rsidR="005A358C" w:rsidRDefault="005A358C" w:rsidP="00AF323E">
      <w:r>
        <w:continuationSeparator/>
      </w:r>
    </w:p>
  </w:endnote>
  <w:endnote w:type="continuationNotice" w:id="1">
    <w:p w14:paraId="45E937F8" w14:textId="77777777" w:rsidR="005A358C" w:rsidRDefault="005A35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8902"/>
      <w:docPartObj>
        <w:docPartGallery w:val="Page Numbers (Bottom of Page)"/>
        <w:docPartUnique/>
      </w:docPartObj>
    </w:sdtPr>
    <w:sdtEndPr>
      <w:rPr>
        <w:noProof/>
      </w:rPr>
    </w:sdtEndPr>
    <w:sdtContent>
      <w:p w14:paraId="1C58CBB5" w14:textId="27980CEA" w:rsidR="005A358C" w:rsidRDefault="005A358C" w:rsidP="00694F9D">
        <w:pPr>
          <w:pStyle w:val="Footer"/>
          <w:jc w:val="center"/>
        </w:pPr>
        <w:r>
          <w:fldChar w:fldCharType="begin"/>
        </w:r>
        <w:r>
          <w:instrText xml:space="preserve"> PAGE   \* MERGEFORMAT </w:instrText>
        </w:r>
        <w:r>
          <w:fldChar w:fldCharType="separate"/>
        </w:r>
        <w:r w:rsidR="0075476E">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122EF" w14:textId="77777777" w:rsidR="005A358C" w:rsidRDefault="005A358C" w:rsidP="00AF323E">
      <w:r>
        <w:separator/>
      </w:r>
    </w:p>
  </w:footnote>
  <w:footnote w:type="continuationSeparator" w:id="0">
    <w:p w14:paraId="773D74B5" w14:textId="77777777" w:rsidR="005A358C" w:rsidRDefault="005A358C" w:rsidP="00AF323E">
      <w:r>
        <w:continuationSeparator/>
      </w:r>
    </w:p>
  </w:footnote>
  <w:footnote w:type="continuationNotice" w:id="1">
    <w:p w14:paraId="78AD0F74" w14:textId="77777777" w:rsidR="005A358C" w:rsidRDefault="005A358C"/>
  </w:footnote>
  <w:footnote w:id="2">
    <w:p w14:paraId="707FF10F" w14:textId="3317385C" w:rsidR="005A358C" w:rsidRDefault="005A358C" w:rsidP="002723EC">
      <w:pPr>
        <w:pStyle w:val="FootnoteText"/>
        <w:tabs>
          <w:tab w:val="left" w:pos="284"/>
        </w:tabs>
        <w:ind w:left="284" w:hanging="284"/>
      </w:pPr>
      <w:r>
        <w:rPr>
          <w:rStyle w:val="FootnoteReference"/>
        </w:rPr>
        <w:footnoteRef/>
      </w:r>
      <w:r>
        <w:t xml:space="preserve"> </w:t>
      </w:r>
      <w:r>
        <w:tab/>
        <w:t xml:space="preserve">No new national data is available. A </w:t>
      </w:r>
      <w:r w:rsidRPr="00030D37">
        <w:t>micro census</w:t>
      </w:r>
      <w:r>
        <w:t xml:space="preserve"> that was carried out in 2015 is expected to be published at the end of 2016.</w:t>
      </w:r>
    </w:p>
  </w:footnote>
  <w:footnote w:id="3">
    <w:p w14:paraId="24993C49" w14:textId="339A0685" w:rsidR="005A358C" w:rsidRPr="002C7D2A" w:rsidRDefault="005A358C" w:rsidP="002723EC">
      <w:pPr>
        <w:pStyle w:val="FootnoteText"/>
        <w:tabs>
          <w:tab w:val="left" w:pos="284"/>
        </w:tabs>
        <w:ind w:left="284" w:hanging="284"/>
      </w:pPr>
      <w:r>
        <w:rPr>
          <w:rStyle w:val="FootnoteReference"/>
        </w:rPr>
        <w:footnoteRef/>
      </w:r>
      <w:r>
        <w:t xml:space="preserve"> </w:t>
      </w:r>
      <w:r>
        <w:tab/>
        <w:t xml:space="preserve">See section 4. </w:t>
      </w:r>
    </w:p>
  </w:footnote>
  <w:footnote w:id="4">
    <w:p w14:paraId="6D5AD6D6" w14:textId="1CED3325" w:rsidR="005A358C" w:rsidRPr="002723EC" w:rsidRDefault="005A358C" w:rsidP="00642C9A">
      <w:pPr>
        <w:pStyle w:val="FootnoteText"/>
        <w:ind w:left="284" w:hanging="284"/>
      </w:pPr>
      <w:r w:rsidRPr="00642C9A">
        <w:rPr>
          <w:rStyle w:val="FootnoteReference"/>
        </w:rPr>
        <w:footnoteRef/>
      </w:r>
      <w:r w:rsidRPr="00642C9A">
        <w:t xml:space="preserve"> </w:t>
      </w:r>
      <w:r w:rsidRPr="00642C9A">
        <w:tab/>
      </w:r>
      <w:hyperlink r:id="rId1" w:history="1">
        <w:r w:rsidRPr="00642C9A">
          <w:rPr>
            <w:rStyle w:val="Hyperlink"/>
          </w:rPr>
          <w:t>http://ec.europa.eu/europe2020/pdf/targets_en.pdf</w:t>
        </w:r>
      </w:hyperlink>
      <w:r>
        <w:rPr>
          <w:rStyle w:val="Hyperlink"/>
          <w:u w:val="none"/>
        </w:rPr>
        <w:t>.</w:t>
      </w:r>
    </w:p>
  </w:footnote>
  <w:footnote w:id="5">
    <w:p w14:paraId="455A7FA5" w14:textId="6C772A55" w:rsidR="005A358C" w:rsidRPr="00642C9A" w:rsidRDefault="005A358C" w:rsidP="00642C9A">
      <w:pPr>
        <w:pStyle w:val="FootnoteText"/>
        <w:ind w:left="284" w:hanging="284"/>
      </w:pPr>
      <w:r w:rsidRPr="00642C9A">
        <w:rPr>
          <w:rStyle w:val="FootnoteReference"/>
        </w:rPr>
        <w:footnoteRef/>
      </w:r>
      <w:r w:rsidRPr="00642C9A">
        <w:t xml:space="preserve"> </w:t>
      </w:r>
      <w:r w:rsidRPr="00642C9A">
        <w:tab/>
        <w:t xml:space="preserve">National Action Plan on Disability 2012-2020. Strategy of the Austrian Federal Government for the Implementation of the UN Disability Convention. Inclusion as a human right and a mandate. For download in English: </w:t>
      </w:r>
      <w:hyperlink r:id="rId2" w:history="1">
        <w:r w:rsidRPr="00642C9A">
          <w:rPr>
            <w:rStyle w:val="Hyperlink"/>
          </w:rPr>
          <w:t>http://www.sozialministerium.at/cms/site/attachments/7/7/8/CH2477/CMS1332494355998/nap_behinderung-web_2013-01-30_eng.pdf</w:t>
        </w:r>
      </w:hyperlink>
      <w:r w:rsidRPr="002723EC">
        <w:rPr>
          <w:rStyle w:val="Hyperlink"/>
          <w:u w:val="none"/>
        </w:rPr>
        <w:t xml:space="preserve"> </w:t>
      </w:r>
      <w:r w:rsidRPr="002723EC">
        <w:rPr>
          <w:rStyle w:val="Hyperlink"/>
          <w:color w:val="auto"/>
          <w:u w:val="none"/>
        </w:rPr>
        <w:t>(25 October 2015).</w:t>
      </w:r>
    </w:p>
  </w:footnote>
  <w:footnote w:id="6">
    <w:p w14:paraId="5ACA34C8" w14:textId="48E6AB88" w:rsidR="005A358C" w:rsidRPr="00F44CD5" w:rsidRDefault="005A358C" w:rsidP="002723EC">
      <w:pPr>
        <w:pStyle w:val="FootnoteText"/>
        <w:ind w:left="284" w:hanging="284"/>
      </w:pPr>
      <w:r>
        <w:rPr>
          <w:rStyle w:val="FootnoteReference"/>
        </w:rPr>
        <w:footnoteRef/>
      </w:r>
      <w:r>
        <w:t xml:space="preserve"> </w:t>
      </w:r>
      <w:r>
        <w:tab/>
      </w:r>
      <w:r w:rsidRPr="00F44CD5">
        <w:rPr>
          <w:lang w:eastAsia="en-GB"/>
        </w:rPr>
        <w:t>EUSILC UDB 201</w:t>
      </w:r>
      <w:r>
        <w:rPr>
          <w:lang w:eastAsia="en-GB"/>
        </w:rPr>
        <w:t>4</w:t>
      </w:r>
      <w:r w:rsidRPr="00F44CD5">
        <w:rPr>
          <w:lang w:eastAsia="en-GB"/>
        </w:rPr>
        <w:t xml:space="preserve"> – version 2 of August 201</w:t>
      </w:r>
      <w:r>
        <w:rPr>
          <w:lang w:eastAsia="en-GB"/>
        </w:rPr>
        <w:t>6.</w:t>
      </w:r>
    </w:p>
  </w:footnote>
  <w:footnote w:id="7">
    <w:p w14:paraId="1A57C389" w14:textId="3EE19F61" w:rsidR="005A358C" w:rsidRDefault="005A358C" w:rsidP="002723EC">
      <w:pPr>
        <w:pStyle w:val="FootnoteText"/>
        <w:ind w:left="284" w:hanging="284"/>
      </w:pPr>
      <w:r>
        <w:rPr>
          <w:rStyle w:val="FootnoteReference"/>
        </w:rPr>
        <w:footnoteRef/>
      </w:r>
      <w:r>
        <w:t xml:space="preserve"> </w:t>
      </w:r>
      <w:r>
        <w:tab/>
        <w:t xml:space="preserve">The SILC survey questions are contained in the </w:t>
      </w:r>
      <w:r w:rsidRPr="005C75D8">
        <w:t>Minimum European Health Module (MEHM)</w:t>
      </w:r>
      <w:r>
        <w:t xml:space="preserve"> </w:t>
      </w:r>
      <w:hyperlink r:id="rId3" w:history="1">
        <w:r w:rsidRPr="00F1732A">
          <w:rPr>
            <w:rStyle w:val="Hyperlink"/>
          </w:rPr>
          <w:t>http://epp.eurostat.ec.europa.eu/statistics_explained/index.php/Glossary:Minimum_European_Health_Module_(MEHM)</w:t>
        </w:r>
      </w:hyperlink>
      <w:r>
        <w:t xml:space="preserve"> (17 October 2016).</w:t>
      </w:r>
    </w:p>
  </w:footnote>
  <w:footnote w:id="8">
    <w:p w14:paraId="33F5214F" w14:textId="1B47819A" w:rsidR="005A358C" w:rsidRDefault="005A358C" w:rsidP="002723EC">
      <w:pPr>
        <w:pStyle w:val="FootnoteText"/>
        <w:ind w:left="284" w:hanging="284"/>
      </w:pPr>
      <w:r>
        <w:rPr>
          <w:rStyle w:val="FootnoteReference"/>
        </w:rPr>
        <w:footnoteRef/>
      </w:r>
      <w:r>
        <w:t xml:space="preserve"> </w:t>
      </w:r>
      <w:r>
        <w:tab/>
        <w:t xml:space="preserve">The methodology is further explained in the annual statistical reports of ANED, available at </w:t>
      </w:r>
      <w:hyperlink r:id="rId4" w:history="1">
        <w:r w:rsidRPr="00F1732A">
          <w:rPr>
            <w:rStyle w:val="Hyperlink"/>
          </w:rPr>
          <w:t>http://www.disability-europe.net/theme/statistical-indicators</w:t>
        </w:r>
      </w:hyperlink>
      <w:r>
        <w:t xml:space="preserve"> (17 October 2016). </w:t>
      </w:r>
    </w:p>
  </w:footnote>
  <w:footnote w:id="9">
    <w:p w14:paraId="5666A798" w14:textId="3F8D402B" w:rsidR="005A358C" w:rsidRPr="00AE0DB3" w:rsidRDefault="005A358C" w:rsidP="00524CC8">
      <w:pPr>
        <w:pStyle w:val="FootnoteText"/>
        <w:ind w:left="284" w:hanging="284"/>
      </w:pPr>
      <w:r>
        <w:rPr>
          <w:rStyle w:val="FootnoteReference"/>
        </w:rPr>
        <w:footnoteRef/>
      </w:r>
      <w:r>
        <w:t xml:space="preserve"> </w:t>
      </w:r>
      <w:r>
        <w:tab/>
        <w:t xml:space="preserve">See </w:t>
      </w:r>
      <w:hyperlink r:id="rId5" w:history="1">
        <w:r w:rsidRPr="00917D90">
          <w:rPr>
            <w:rStyle w:val="Hyperlink"/>
          </w:rPr>
          <w:t>https://www.arbeitundbehinderung.at/de/arbeitsmarktdaten/</w:t>
        </w:r>
      </w:hyperlink>
      <w:r>
        <w:t xml:space="preserve"> (17 October 2016). </w:t>
      </w:r>
    </w:p>
  </w:footnote>
  <w:footnote w:id="10">
    <w:p w14:paraId="7A92B3CF" w14:textId="5666FB1D" w:rsidR="005A358C" w:rsidRPr="00AE0DB3" w:rsidRDefault="005A358C" w:rsidP="00524CC8">
      <w:pPr>
        <w:pStyle w:val="FootnoteText"/>
        <w:ind w:left="284" w:hanging="284"/>
        <w:rPr>
          <w:lang w:val="de-DE"/>
        </w:rPr>
      </w:pPr>
      <w:r>
        <w:rPr>
          <w:rStyle w:val="FootnoteReference"/>
        </w:rPr>
        <w:footnoteRef/>
      </w:r>
      <w:r>
        <w:t xml:space="preserve"> </w:t>
      </w:r>
      <w:r>
        <w:tab/>
      </w:r>
      <w:r w:rsidRPr="00C674B4">
        <w:t xml:space="preserve">Employment data on 2015: Officially recognised persons with disabilities and person with other health problems. </w:t>
      </w:r>
      <w:r w:rsidRPr="00AE0DB3">
        <w:rPr>
          <w:lang w:val="de-DE"/>
        </w:rPr>
        <w:t xml:space="preserve">Personen mit gesundheitl. Einschränkungen - Jahresdaten: </w:t>
      </w:r>
      <w:hyperlink r:id="rId6" w:history="1">
        <w:r w:rsidRPr="00AE0DB3">
          <w:rPr>
            <w:rStyle w:val="Hyperlink"/>
            <w:lang w:val="de-DE"/>
          </w:rPr>
          <w:t>http://www.dnet.at/elis/Arbeitsmarkt.aspx</w:t>
        </w:r>
      </w:hyperlink>
      <w:r w:rsidRPr="00AE0DB3">
        <w:rPr>
          <w:lang w:val="de-DE"/>
        </w:rPr>
        <w:t xml:space="preserve"> (17 October 2016). </w:t>
      </w:r>
    </w:p>
  </w:footnote>
  <w:footnote w:id="11">
    <w:p w14:paraId="3E6D98FC" w14:textId="0C6175DC" w:rsidR="005A358C" w:rsidRPr="00257734" w:rsidRDefault="005A358C" w:rsidP="00524CC8">
      <w:pPr>
        <w:pStyle w:val="FootnoteText"/>
        <w:ind w:left="284" w:hanging="284"/>
        <w:rPr>
          <w:lang w:val="de-AT"/>
        </w:rPr>
      </w:pPr>
      <w:r>
        <w:rPr>
          <w:rStyle w:val="FootnoteReference"/>
        </w:rPr>
        <w:footnoteRef/>
      </w:r>
      <w:r w:rsidRPr="00AE0DB3">
        <w:rPr>
          <w:lang w:val="de-DE"/>
        </w:rPr>
        <w:t xml:space="preserve"> </w:t>
      </w:r>
      <w:r>
        <w:rPr>
          <w:lang w:val="de-DE"/>
        </w:rPr>
        <w:tab/>
      </w:r>
      <w:r w:rsidRPr="00AE0DB3">
        <w:rPr>
          <w:lang w:val="de-DE"/>
        </w:rPr>
        <w:t>Employment data on 2016: Personen mit gesundheitl. Eins</w:t>
      </w:r>
      <w:r>
        <w:rPr>
          <w:lang w:val="de-DE"/>
        </w:rPr>
        <w:t xml:space="preserve">chränkungen – aktueller Monat: </w:t>
      </w:r>
      <w:hyperlink r:id="rId7" w:history="1">
        <w:r w:rsidRPr="00AE0DB3">
          <w:rPr>
            <w:rStyle w:val="Hyperlink"/>
            <w:lang w:val="de-DE"/>
          </w:rPr>
          <w:t>http://www.dnet.at/elis/Arbeitsmarkt.aspx</w:t>
        </w:r>
      </w:hyperlink>
      <w:r w:rsidRPr="00AE0DB3">
        <w:rPr>
          <w:lang w:val="de-DE"/>
        </w:rPr>
        <w:t xml:space="preserve"> (17 October 2016). </w:t>
      </w:r>
    </w:p>
  </w:footnote>
  <w:footnote w:id="12">
    <w:p w14:paraId="5DF38AEA" w14:textId="0AED1179" w:rsidR="005A358C" w:rsidRPr="00F9665B" w:rsidRDefault="005A358C" w:rsidP="00524CC8">
      <w:pPr>
        <w:pStyle w:val="FootnoteText"/>
        <w:ind w:left="284" w:hanging="284"/>
        <w:rPr>
          <w:lang w:val="de-DE"/>
        </w:rPr>
      </w:pPr>
      <w:r>
        <w:rPr>
          <w:rStyle w:val="FootnoteReference"/>
        </w:rPr>
        <w:footnoteRef/>
      </w:r>
      <w:r w:rsidRPr="00F11473">
        <w:t xml:space="preserve"> </w:t>
      </w:r>
      <w:r>
        <w:tab/>
      </w:r>
      <w:r w:rsidRPr="00A21636">
        <w:t>Employment data on 2015: Officially recognised persons with disabilities and person with other health problems.</w:t>
      </w:r>
      <w:r>
        <w:t xml:space="preserve"> </w:t>
      </w:r>
      <w:r w:rsidRPr="00F9665B">
        <w:rPr>
          <w:lang w:val="de-DE"/>
        </w:rPr>
        <w:t xml:space="preserve">Personen mit gesundheitl. Einschränkungen - Jahresdaten: </w:t>
      </w:r>
      <w:hyperlink r:id="rId8" w:history="1">
        <w:r w:rsidRPr="00F9665B">
          <w:rPr>
            <w:rStyle w:val="Hyperlink"/>
            <w:lang w:val="de-DE"/>
          </w:rPr>
          <w:t>http://www.dnet.at/elis/Arbeitsmarkt.aspx</w:t>
        </w:r>
      </w:hyperlink>
      <w:r w:rsidR="00A316BB">
        <w:rPr>
          <w:lang w:val="de-DE"/>
        </w:rPr>
        <w:t xml:space="preserve"> (17 October 2016). </w:t>
      </w:r>
    </w:p>
  </w:footnote>
  <w:footnote w:id="13">
    <w:p w14:paraId="5D876B52" w14:textId="1974A246" w:rsidR="005A358C" w:rsidRPr="00336F5D" w:rsidRDefault="005A358C" w:rsidP="00524CC8">
      <w:pPr>
        <w:pStyle w:val="FootnoteText"/>
        <w:ind w:left="284" w:hanging="284"/>
        <w:rPr>
          <w:lang w:val="de-AT"/>
        </w:rPr>
      </w:pPr>
      <w:r>
        <w:rPr>
          <w:rStyle w:val="FootnoteReference"/>
        </w:rPr>
        <w:footnoteRef/>
      </w:r>
      <w:r>
        <w:t xml:space="preserve"> </w:t>
      </w:r>
      <w:r>
        <w:tab/>
        <w:t>Employment data on 2016</w:t>
      </w:r>
      <w:r w:rsidRPr="00A21636">
        <w:t>: Officially recognised persons with disabilities and person with other health problems.</w:t>
      </w:r>
      <w:r>
        <w:t xml:space="preserve"> </w:t>
      </w:r>
      <w:r w:rsidRPr="00124B63">
        <w:rPr>
          <w:lang w:val="de-DE"/>
        </w:rPr>
        <w:t xml:space="preserve">Personen mit gesundheitl. Einschränkungen – aktueller Monat: </w:t>
      </w:r>
      <w:hyperlink r:id="rId9" w:history="1">
        <w:r w:rsidRPr="00124B63">
          <w:rPr>
            <w:rStyle w:val="Hyperlink"/>
            <w:lang w:val="de-DE"/>
          </w:rPr>
          <w:t>http://www.dnet.at/elis/Arbeitsmarkt.aspx</w:t>
        </w:r>
      </w:hyperlink>
      <w:r w:rsidRPr="00124B63">
        <w:rPr>
          <w:lang w:val="de-DE"/>
        </w:rPr>
        <w:t xml:space="preserve"> (17 October 2016).  </w:t>
      </w:r>
    </w:p>
  </w:footnote>
  <w:footnote w:id="14">
    <w:p w14:paraId="288BCCA1" w14:textId="15DB049E" w:rsidR="005A358C" w:rsidRPr="00124B63" w:rsidRDefault="005A358C" w:rsidP="00524CC8">
      <w:pPr>
        <w:pStyle w:val="FootnoteText"/>
        <w:ind w:left="284" w:hanging="284"/>
        <w:rPr>
          <w:lang w:val="de-DE"/>
        </w:rPr>
      </w:pPr>
      <w:r>
        <w:rPr>
          <w:rStyle w:val="FootnoteReference"/>
        </w:rPr>
        <w:footnoteRef/>
      </w:r>
      <w:r>
        <w:t xml:space="preserve"> </w:t>
      </w:r>
      <w:r>
        <w:tab/>
      </w:r>
      <w:r w:rsidRPr="00BC1691">
        <w:t xml:space="preserve">Employment data on 2015: Officially recognised persons with disabilities and person with other health problems. </w:t>
      </w:r>
      <w:r w:rsidRPr="00124B63">
        <w:rPr>
          <w:lang w:val="de-DE"/>
        </w:rPr>
        <w:t xml:space="preserve">Personen mit gesundheitl. Einschränkungen – Jahresdaten: </w:t>
      </w:r>
      <w:hyperlink r:id="rId10" w:history="1">
        <w:r w:rsidRPr="00124B63">
          <w:rPr>
            <w:rStyle w:val="Hyperlink"/>
            <w:lang w:val="de-DE"/>
          </w:rPr>
          <w:t>http://www.dnet.at/elis/Arbeitsmarkt.aspx</w:t>
        </w:r>
      </w:hyperlink>
      <w:r w:rsidRPr="00124B63">
        <w:rPr>
          <w:lang w:val="de-DE"/>
        </w:rPr>
        <w:t xml:space="preserve"> (17 October 2016). </w:t>
      </w:r>
    </w:p>
  </w:footnote>
  <w:footnote w:id="15">
    <w:p w14:paraId="03D6C4FF" w14:textId="655DCFA6" w:rsidR="005A358C" w:rsidRPr="00124B63" w:rsidRDefault="005A358C" w:rsidP="00524CC8">
      <w:pPr>
        <w:pStyle w:val="FootnoteText"/>
        <w:ind w:left="284" w:hanging="284"/>
        <w:rPr>
          <w:lang w:val="de-DE"/>
        </w:rPr>
      </w:pPr>
      <w:r>
        <w:rPr>
          <w:rStyle w:val="FootnoteReference"/>
        </w:rPr>
        <w:footnoteRef/>
      </w:r>
      <w:r>
        <w:t xml:space="preserve"> </w:t>
      </w:r>
      <w:r>
        <w:tab/>
        <w:t xml:space="preserve">Employment data September 2016: </w:t>
      </w:r>
      <w:r w:rsidRPr="00C13FC6">
        <w:t>Officially recognised persons with disabilities and person with other health problems.</w:t>
      </w:r>
      <w:r>
        <w:t xml:space="preserve"> </w:t>
      </w:r>
      <w:r w:rsidRPr="00124B63">
        <w:rPr>
          <w:lang w:val="de-DE"/>
        </w:rPr>
        <w:t xml:space="preserve">Personen mit gesundheitl. Einschränkungen – aktueller Monat: </w:t>
      </w:r>
      <w:hyperlink r:id="rId11" w:history="1">
        <w:r w:rsidRPr="00124B63">
          <w:rPr>
            <w:rStyle w:val="Hyperlink"/>
            <w:lang w:val="de-DE"/>
          </w:rPr>
          <w:t>http://www.dnet.at/elis/Arbeitsmarkt.aspx</w:t>
        </w:r>
      </w:hyperlink>
      <w:r w:rsidRPr="00124B63">
        <w:rPr>
          <w:lang w:val="de-DE"/>
        </w:rPr>
        <w:t xml:space="preserve"> (17 October 2016). </w:t>
      </w:r>
    </w:p>
  </w:footnote>
  <w:footnote w:id="16">
    <w:p w14:paraId="7C0EC374" w14:textId="7FBEACFB" w:rsidR="005A358C" w:rsidRPr="00B71AF9" w:rsidRDefault="005A358C" w:rsidP="00524CC8">
      <w:pPr>
        <w:pStyle w:val="FootnoteText"/>
        <w:ind w:left="284" w:hanging="284"/>
      </w:pPr>
      <w:r>
        <w:rPr>
          <w:rStyle w:val="FootnoteReference"/>
        </w:rPr>
        <w:footnoteRef/>
      </w:r>
      <w:r>
        <w:t xml:space="preserve"> </w:t>
      </w:r>
      <w:r>
        <w:tab/>
      </w:r>
      <w:r w:rsidRPr="002C72A4">
        <w:t>Source: Annual Report of the Employment Service</w:t>
      </w:r>
      <w:r>
        <w:t xml:space="preserve">, p. 20, </w:t>
      </w:r>
      <w:hyperlink r:id="rId12" w:history="1">
        <w:r w:rsidRPr="00524CC8">
          <w:rPr>
            <w:rStyle w:val="Hyperlink"/>
          </w:rPr>
          <w:t>http://www.ams.at/_docs/001_JB-2015.pdf</w:t>
        </w:r>
      </w:hyperlink>
      <w:r w:rsidRPr="00524CC8">
        <w:t xml:space="preserve"> (17</w:t>
      </w:r>
      <w:r>
        <w:t xml:space="preserve"> October 2016). </w:t>
      </w:r>
    </w:p>
  </w:footnote>
  <w:footnote w:id="17">
    <w:p w14:paraId="50254CA3" w14:textId="777033E6" w:rsidR="005A358C" w:rsidRPr="00642C9A" w:rsidRDefault="005A358C" w:rsidP="002D4373">
      <w:pPr>
        <w:pStyle w:val="FootnoteText"/>
        <w:ind w:left="284" w:hanging="284"/>
        <w:rPr>
          <w:lang w:val="de-DE"/>
        </w:rPr>
      </w:pPr>
      <w:r w:rsidRPr="00642C9A">
        <w:rPr>
          <w:rStyle w:val="FootnoteReference"/>
        </w:rPr>
        <w:footnoteRef/>
      </w:r>
      <w:r w:rsidRPr="009A3178">
        <w:rPr>
          <w:lang w:val="de-DE"/>
        </w:rPr>
        <w:t xml:space="preserve"> </w:t>
      </w:r>
      <w:r w:rsidRPr="009A3178">
        <w:rPr>
          <w:lang w:val="de-DE"/>
        </w:rPr>
        <w:tab/>
        <w:t xml:space="preserve">Statistik Austria. </w:t>
      </w:r>
      <w:r w:rsidRPr="00642C9A">
        <w:rPr>
          <w:lang w:val="de-DE"/>
        </w:rPr>
        <w:t>Arbeitsmarktstatistik 2. Quartal 2015. Mik</w:t>
      </w:r>
      <w:r>
        <w:rPr>
          <w:lang w:val="de-DE"/>
        </w:rPr>
        <w:t xml:space="preserve">rozensus-Arbeitskräfteerhebung </w:t>
      </w:r>
      <w:hyperlink r:id="rId13" w:history="1">
        <w:r w:rsidRPr="002D4373">
          <w:rPr>
            <w:rStyle w:val="Hyperlink"/>
            <w:lang w:val="de-DE"/>
          </w:rPr>
          <w:t>http://www.statistik.at/web_de/statistiken/menschen_und_gesellschaft/arbeitsmarkt/erwerbsstatus/index.html</w:t>
        </w:r>
      </w:hyperlink>
      <w:r>
        <w:rPr>
          <w:lang w:val="de-DE"/>
        </w:rPr>
        <w:t xml:space="preserve"> (16</w:t>
      </w:r>
      <w:r w:rsidRPr="00642C9A">
        <w:rPr>
          <w:lang w:val="de-DE"/>
        </w:rPr>
        <w:t xml:space="preserve"> October 201</w:t>
      </w:r>
      <w:r>
        <w:rPr>
          <w:lang w:val="de-DE"/>
        </w:rPr>
        <w:t>6</w:t>
      </w:r>
      <w:r w:rsidRPr="00642C9A">
        <w:rPr>
          <w:lang w:val="de-DE"/>
        </w:rPr>
        <w:t xml:space="preserve">). </w:t>
      </w:r>
    </w:p>
  </w:footnote>
  <w:footnote w:id="18">
    <w:p w14:paraId="4A2783B1" w14:textId="07E0D72C" w:rsidR="005A358C" w:rsidRPr="008D759A" w:rsidRDefault="005A358C" w:rsidP="002D4373">
      <w:pPr>
        <w:pStyle w:val="FootnoteText"/>
        <w:ind w:left="284" w:hanging="284"/>
        <w:rPr>
          <w:lang w:val="de-DE"/>
        </w:rPr>
      </w:pPr>
      <w:r w:rsidRPr="00642C9A">
        <w:rPr>
          <w:rStyle w:val="FootnoteReference"/>
        </w:rPr>
        <w:footnoteRef/>
      </w:r>
      <w:r w:rsidRPr="00642C9A">
        <w:rPr>
          <w:lang w:val="de-DE"/>
        </w:rPr>
        <w:t xml:space="preserve"> </w:t>
      </w:r>
      <w:r w:rsidRPr="00642C9A">
        <w:rPr>
          <w:lang w:val="de-DE"/>
        </w:rPr>
        <w:tab/>
        <w:t>Statistik Austria. Tabellenband EU-SILC 2014. Einkommen, Arbeit und Lebensbedi</w:t>
      </w:r>
      <w:r>
        <w:rPr>
          <w:lang w:val="de-DE"/>
        </w:rPr>
        <w:t xml:space="preserve">ngungen. </w:t>
      </w:r>
      <w:r w:rsidRPr="008D759A">
        <w:rPr>
          <w:lang w:val="de-DE"/>
        </w:rPr>
        <w:t xml:space="preserve">Wien 2015 (in German) </w:t>
      </w:r>
      <w:hyperlink r:id="rId14" w:history="1">
        <w:r w:rsidRPr="008D759A">
          <w:rPr>
            <w:rStyle w:val="Hyperlink"/>
            <w:lang w:val="de-DE"/>
          </w:rPr>
          <w:t>https://www.sozialministerium.at/cms/site/attachments/3/3/7/CH2170/CMS1387266116632/tabellenband_eusilc_2014.pdf</w:t>
        </w:r>
      </w:hyperlink>
      <w:r w:rsidRPr="008D759A">
        <w:rPr>
          <w:lang w:val="de-DE"/>
        </w:rPr>
        <w:t xml:space="preserve"> (14 October 2016).</w:t>
      </w:r>
    </w:p>
  </w:footnote>
  <w:footnote w:id="19">
    <w:p w14:paraId="68F3F471" w14:textId="235236A5" w:rsidR="005A358C" w:rsidRPr="00642C9A" w:rsidRDefault="005A358C" w:rsidP="002D4373">
      <w:pPr>
        <w:pStyle w:val="FootnoteText"/>
        <w:ind w:left="284" w:hanging="284"/>
      </w:pPr>
      <w:r w:rsidRPr="00642C9A">
        <w:rPr>
          <w:rStyle w:val="FootnoteReference"/>
        </w:rPr>
        <w:footnoteRef/>
      </w:r>
      <w:r w:rsidRPr="00642C9A">
        <w:t xml:space="preserve"> </w:t>
      </w:r>
      <w:r w:rsidRPr="00642C9A">
        <w:tab/>
        <w:t>Please see above for other (and overlapping) categorisations of persons with disabilities in national regulations but also on the EUSILC level.</w:t>
      </w:r>
    </w:p>
  </w:footnote>
  <w:footnote w:id="20">
    <w:p w14:paraId="2EBDCF65" w14:textId="659B5586" w:rsidR="005A358C" w:rsidRPr="00642C9A" w:rsidRDefault="005A358C" w:rsidP="002D4373">
      <w:pPr>
        <w:pStyle w:val="FootnoteText"/>
        <w:ind w:left="284" w:hanging="284"/>
        <w:rPr>
          <w:lang w:val="de-DE"/>
        </w:rPr>
      </w:pPr>
      <w:r w:rsidRPr="00642C9A">
        <w:rPr>
          <w:rStyle w:val="FootnoteReference"/>
        </w:rPr>
        <w:footnoteRef/>
      </w:r>
      <w:r w:rsidRPr="00642C9A">
        <w:rPr>
          <w:lang w:val="de-DE"/>
        </w:rPr>
        <w:t xml:space="preserve"> </w:t>
      </w:r>
      <w:r w:rsidRPr="00642C9A">
        <w:rPr>
          <w:lang w:val="de-DE"/>
        </w:rPr>
        <w:tab/>
        <w:t>Unpublished study: Deloitte/BMASK. Analyse des Investitionsvorhabens im Bereich sozialversicherungsrechtlicher Absicherung von Menschen mit Behinderung in der Beschäftigungstherapie. Wien 2012 (in German).</w:t>
      </w:r>
    </w:p>
  </w:footnote>
  <w:footnote w:id="21">
    <w:p w14:paraId="44FA41C8" w14:textId="4778AF2F" w:rsidR="005A358C" w:rsidRPr="00642C9A" w:rsidRDefault="005A358C" w:rsidP="002D4373">
      <w:pPr>
        <w:pStyle w:val="FootnoteText"/>
        <w:ind w:left="284" w:hanging="284"/>
        <w:rPr>
          <w:lang w:val="de-DE"/>
        </w:rPr>
      </w:pPr>
      <w:r w:rsidRPr="00642C9A">
        <w:rPr>
          <w:rStyle w:val="FootnoteReference"/>
        </w:rPr>
        <w:footnoteRef/>
      </w:r>
      <w:r w:rsidRPr="00642C9A">
        <w:rPr>
          <w:lang w:val="de-DE"/>
        </w:rPr>
        <w:t xml:space="preserve"> </w:t>
      </w:r>
      <w:r w:rsidRPr="00642C9A">
        <w:rPr>
          <w:lang w:val="de-DE"/>
        </w:rPr>
        <w:tab/>
        <w:t xml:space="preserve">Behinderteneinstellungsgesetz (BEinstG), BGBl. Nr. 22/1970, in German, </w:t>
      </w:r>
      <w:hyperlink r:id="rId15" w:history="1">
        <w:r w:rsidRPr="002D4373">
          <w:rPr>
            <w:rStyle w:val="Hyperlink"/>
            <w:lang w:val="de-DE"/>
          </w:rPr>
          <w:t>http://www.ris.bka.gv.at/Dokumente/BgblPdf/1970_22_0/1970_22_0.pdf</w:t>
        </w:r>
      </w:hyperlink>
      <w:r w:rsidRPr="007E7C91">
        <w:rPr>
          <w:lang w:val="de-DE"/>
        </w:rPr>
        <w:t xml:space="preserve"> (18</w:t>
      </w:r>
      <w:r>
        <w:rPr>
          <w:lang w:val="de-DE"/>
        </w:rPr>
        <w:t xml:space="preserve"> </w:t>
      </w:r>
      <w:r w:rsidRPr="00642C9A">
        <w:rPr>
          <w:lang w:val="de-DE"/>
        </w:rPr>
        <w:t>November 2015)</w:t>
      </w:r>
      <w:r>
        <w:rPr>
          <w:lang w:val="de-DE"/>
        </w:rPr>
        <w:t>.</w:t>
      </w:r>
    </w:p>
  </w:footnote>
  <w:footnote w:id="22">
    <w:p w14:paraId="5E57827F" w14:textId="5B387A44" w:rsidR="005A358C" w:rsidRPr="007A484B" w:rsidRDefault="005A358C" w:rsidP="002D4373">
      <w:pPr>
        <w:pStyle w:val="FootnoteText"/>
        <w:ind w:left="284" w:hanging="284"/>
      </w:pPr>
      <w:r>
        <w:rPr>
          <w:rStyle w:val="FootnoteReference"/>
        </w:rPr>
        <w:footnoteRef/>
      </w:r>
      <w:r>
        <w:t xml:space="preserve"> </w:t>
      </w:r>
      <w:r>
        <w:tab/>
        <w:t xml:space="preserve">Reply to a parliamentary request on sheltered workshops in Austria (2015). </w:t>
      </w:r>
      <w:hyperlink r:id="rId16" w:history="1">
        <w:r w:rsidRPr="00FC7224">
          <w:rPr>
            <w:rStyle w:val="Hyperlink"/>
          </w:rPr>
          <w:t>https://www.parlament.gv.at/PAKT/VHG/XXV/AB/AB_05544/imfname_459955.pdf</w:t>
        </w:r>
      </w:hyperlink>
      <w:r>
        <w:t xml:space="preserve"> (17 October 2016). </w:t>
      </w:r>
    </w:p>
  </w:footnote>
  <w:footnote w:id="23">
    <w:p w14:paraId="769D4A61" w14:textId="4ED38A65" w:rsidR="005A358C" w:rsidRDefault="005A358C" w:rsidP="002D4373">
      <w:pPr>
        <w:pStyle w:val="FootnoteText"/>
        <w:ind w:left="284" w:hanging="284"/>
      </w:pPr>
      <w:r>
        <w:rPr>
          <w:rStyle w:val="FootnoteReference"/>
        </w:rPr>
        <w:footnoteRef/>
      </w:r>
      <w:r>
        <w:t xml:space="preserve"> </w:t>
      </w:r>
      <w:r>
        <w:tab/>
        <w:t xml:space="preserve">For the LFS AHM data see, Early school leavers </w:t>
      </w:r>
      <w:hyperlink r:id="rId17" w:history="1">
        <w:r w:rsidRPr="00AD7D0C">
          <w:rPr>
            <w:rStyle w:val="Hyperlink"/>
          </w:rPr>
          <w:t>http://appsso.eurostat.ec.europa.eu/nui/show.do?dataset=hlth_de010&amp;lang=en</w:t>
        </w:r>
      </w:hyperlink>
      <w:r>
        <w:t xml:space="preserve"> and tertiary educational attainment </w:t>
      </w:r>
      <w:hyperlink r:id="rId18" w:history="1">
        <w:r w:rsidRPr="004A7D1B">
          <w:rPr>
            <w:rStyle w:val="Hyperlink"/>
          </w:rPr>
          <w:t>http://appsso.eurostat.ec.europa.eu/nui/show.do?dataset=hlth_de020&amp;lang=en</w:t>
        </w:r>
      </w:hyperlink>
      <w:r>
        <w:t>.</w:t>
      </w:r>
    </w:p>
  </w:footnote>
  <w:footnote w:id="24">
    <w:p w14:paraId="070CEAA6" w14:textId="47B7EE52" w:rsidR="005A358C" w:rsidRPr="009A3178" w:rsidRDefault="005A358C" w:rsidP="00B1775E">
      <w:pPr>
        <w:pStyle w:val="FootnoteText"/>
        <w:ind w:left="284" w:hanging="284"/>
        <w:rPr>
          <w:lang w:val="de-DE"/>
        </w:rPr>
      </w:pPr>
      <w:r>
        <w:rPr>
          <w:rStyle w:val="FootnoteReference"/>
        </w:rPr>
        <w:footnoteRef/>
      </w:r>
      <w:r w:rsidRPr="00595E81">
        <w:rPr>
          <w:lang w:val="de-DE"/>
        </w:rPr>
        <w:t xml:space="preserve"> </w:t>
      </w:r>
      <w:r>
        <w:rPr>
          <w:lang w:val="de-DE"/>
        </w:rPr>
        <w:tab/>
        <w:t xml:space="preserve">Statistik Austria: Frühe Schulabgänger und Schulabgängerinnen (early school leavers) 1995 – 2015 </w:t>
      </w:r>
      <w:hyperlink r:id="rId19" w:history="1">
        <w:r w:rsidRPr="009A3178">
          <w:rPr>
            <w:rStyle w:val="Hyperlink"/>
            <w:lang w:val="de-DE"/>
          </w:rPr>
          <w:t>http://www.statistik.at/web_de/statistiken/menschen_und_gesellschaft/bildung_und_kultur/</w:t>
        </w:r>
        <w:r w:rsidRPr="009A3178">
          <w:rPr>
            <w:rStyle w:val="Hyperlink"/>
            <w:lang w:val="de-DE"/>
          </w:rPr>
          <w:br/>
          <w:t>formales_bildungswesen/fruehe_schulabgaenger/index.html?ssSourceSiteId=null</w:t>
        </w:r>
      </w:hyperlink>
      <w:r w:rsidRPr="009A3178">
        <w:rPr>
          <w:lang w:val="de-DE"/>
        </w:rPr>
        <w:t xml:space="preserve"> (17 October 2016).</w:t>
      </w:r>
    </w:p>
  </w:footnote>
  <w:footnote w:id="25">
    <w:p w14:paraId="20BD90E7" w14:textId="5FEED1CB" w:rsidR="005A358C" w:rsidRPr="00642C9A" w:rsidRDefault="005A358C" w:rsidP="00642C9A">
      <w:pPr>
        <w:pStyle w:val="FootnoteText"/>
        <w:ind w:left="284" w:hanging="284"/>
        <w:rPr>
          <w:lang w:val="de-AT"/>
        </w:rPr>
      </w:pPr>
      <w:r w:rsidRPr="00642C9A">
        <w:rPr>
          <w:rStyle w:val="FootnoteReference"/>
        </w:rPr>
        <w:footnoteRef/>
      </w:r>
      <w:r w:rsidRPr="00642C9A">
        <w:rPr>
          <w:lang w:val="de-DE"/>
        </w:rPr>
        <w:t xml:space="preserve"> </w:t>
      </w:r>
      <w:r w:rsidRPr="00642C9A">
        <w:rPr>
          <w:lang w:val="de-DE"/>
        </w:rPr>
        <w:tab/>
      </w:r>
      <w:r w:rsidRPr="00642C9A">
        <w:rPr>
          <w:lang w:val="de-AT"/>
        </w:rPr>
        <w:t xml:space="preserve">Leitner, Barbara (2008). Menschen mit Beeinträchtigungen. Ergebnisse der Mikrozensus-Zusatzfragen im 4. Quartal 2007. In: Statistische Nachrichten 12/2008, 1132 – 1141. </w:t>
      </w:r>
      <w:hyperlink r:id="rId20" w:history="1">
        <w:r w:rsidRPr="00B1775E">
          <w:rPr>
            <w:rStyle w:val="Hyperlink"/>
            <w:lang w:val="de-DE"/>
          </w:rPr>
          <w:t>http://www.sozialministerium.at/cms/site/attachments/0/5/9/CH3141/CMS1415978600199/mikrozensusbericht_2007_statistik_austria.pdf</w:t>
        </w:r>
      </w:hyperlink>
      <w:r>
        <w:rPr>
          <w:lang w:val="de-DE"/>
        </w:rPr>
        <w:t xml:space="preserve"> </w:t>
      </w:r>
      <w:r w:rsidRPr="00642C9A">
        <w:rPr>
          <w:lang w:val="de-AT"/>
        </w:rPr>
        <w:t>(21 October 2015).</w:t>
      </w:r>
    </w:p>
  </w:footnote>
  <w:footnote w:id="26">
    <w:p w14:paraId="236CA4B1" w14:textId="3D14660C" w:rsidR="005A358C" w:rsidRPr="00A23E17" w:rsidRDefault="005A358C" w:rsidP="00BF021F">
      <w:pPr>
        <w:ind w:left="284" w:hanging="284"/>
        <w:rPr>
          <w:rFonts w:eastAsia="SimSun"/>
          <w:bCs/>
          <w:sz w:val="20"/>
          <w:szCs w:val="20"/>
        </w:rPr>
      </w:pPr>
      <w:r w:rsidRPr="00642C9A">
        <w:rPr>
          <w:rStyle w:val="FootnoteReference"/>
          <w:sz w:val="20"/>
          <w:szCs w:val="20"/>
        </w:rPr>
        <w:footnoteRef/>
      </w:r>
      <w:r w:rsidRPr="001A711F">
        <w:rPr>
          <w:sz w:val="20"/>
          <w:szCs w:val="20"/>
        </w:rPr>
        <w:t xml:space="preserve"> </w:t>
      </w:r>
      <w:r w:rsidRPr="001A711F">
        <w:rPr>
          <w:sz w:val="20"/>
          <w:szCs w:val="20"/>
        </w:rPr>
        <w:tab/>
      </w:r>
      <w:r w:rsidRPr="00A23E17">
        <w:rPr>
          <w:rFonts w:eastAsia="SimSun"/>
          <w:bCs/>
          <w:sz w:val="20"/>
          <w:szCs w:val="20"/>
        </w:rPr>
        <w:t>Grammenos, Stefanos (2013). European comparative data on Eu</w:t>
      </w:r>
      <w:r>
        <w:rPr>
          <w:rFonts w:eastAsia="SimSun"/>
          <w:bCs/>
          <w:sz w:val="20"/>
          <w:szCs w:val="20"/>
        </w:rPr>
        <w:t xml:space="preserve">rope 2020 &amp; Housing conditions </w:t>
      </w:r>
      <w:r w:rsidRPr="00683487">
        <w:rPr>
          <w:sz w:val="20"/>
          <w:szCs w:val="20"/>
        </w:rPr>
        <w:t xml:space="preserve">via </w:t>
      </w:r>
      <w:hyperlink r:id="rId21" w:history="1">
        <w:r w:rsidRPr="00BF021F">
          <w:rPr>
            <w:rStyle w:val="Hyperlink"/>
            <w:sz w:val="20"/>
            <w:szCs w:val="20"/>
          </w:rPr>
          <w:t>http://www.disability-europe.net/theme/comparative-data/reports-comparative-data</w:t>
        </w:r>
      </w:hyperlink>
      <w:r w:rsidRPr="00683487">
        <w:rPr>
          <w:sz w:val="20"/>
          <w:szCs w:val="20"/>
        </w:rPr>
        <w:t xml:space="preserve"> </w:t>
      </w:r>
      <w:r w:rsidRPr="00A23E17">
        <w:rPr>
          <w:rFonts w:eastAsia="SimSun"/>
          <w:bCs/>
          <w:sz w:val="20"/>
          <w:szCs w:val="20"/>
        </w:rPr>
        <w:t>(</w:t>
      </w:r>
      <w:r>
        <w:rPr>
          <w:rFonts w:eastAsia="SimSun"/>
          <w:bCs/>
          <w:sz w:val="20"/>
          <w:szCs w:val="20"/>
        </w:rPr>
        <w:t>17</w:t>
      </w:r>
      <w:r w:rsidRPr="00A23E17">
        <w:rPr>
          <w:rFonts w:eastAsia="SimSun"/>
          <w:bCs/>
          <w:sz w:val="20"/>
          <w:szCs w:val="20"/>
        </w:rPr>
        <w:t xml:space="preserve"> October 201</w:t>
      </w:r>
      <w:r>
        <w:rPr>
          <w:rFonts w:eastAsia="SimSun"/>
          <w:bCs/>
          <w:sz w:val="20"/>
          <w:szCs w:val="20"/>
        </w:rPr>
        <w:t>6</w:t>
      </w:r>
      <w:r w:rsidRPr="00A23E17">
        <w:rPr>
          <w:rFonts w:eastAsia="SimSun"/>
          <w:bCs/>
          <w:sz w:val="20"/>
          <w:szCs w:val="20"/>
        </w:rPr>
        <w:t>).</w:t>
      </w:r>
    </w:p>
  </w:footnote>
  <w:footnote w:id="27">
    <w:p w14:paraId="3E81675E" w14:textId="04058EAC" w:rsidR="005A358C" w:rsidRPr="00642C9A" w:rsidRDefault="005A358C" w:rsidP="00BF021F">
      <w:pPr>
        <w:pStyle w:val="FootnoteText"/>
        <w:ind w:left="284" w:hanging="284"/>
        <w:rPr>
          <w:lang w:val="de-DE"/>
        </w:rPr>
      </w:pPr>
      <w:r w:rsidRPr="00642C9A">
        <w:rPr>
          <w:rStyle w:val="FootnoteReference"/>
        </w:rPr>
        <w:footnoteRef/>
      </w:r>
      <w:r w:rsidRPr="00642C9A">
        <w:rPr>
          <w:lang w:val="de-DE"/>
        </w:rPr>
        <w:t xml:space="preserve"> </w:t>
      </w:r>
      <w:r w:rsidRPr="00642C9A">
        <w:rPr>
          <w:lang w:val="de-DE"/>
        </w:rPr>
        <w:tab/>
        <w:t xml:space="preserve">Zaussinger Sarah; Wejwar, Petra; Unger, Martin; Laimer, Andrea (2012), Studierende mit Behinderungen und chronischen Erkrankungen, Teil 1 der Zusatzstudie im Rahmen der Studierenden-Sozialerhebung 2011, Studie im Auftrag des BMWFW, Wien (in German). </w:t>
      </w:r>
    </w:p>
  </w:footnote>
  <w:footnote w:id="28">
    <w:p w14:paraId="76D21961" w14:textId="7CAE0491" w:rsidR="005A358C" w:rsidRPr="0001019B" w:rsidRDefault="005A358C" w:rsidP="00BF021F">
      <w:pPr>
        <w:pStyle w:val="FootnoteText"/>
        <w:ind w:left="284" w:hanging="284"/>
        <w:rPr>
          <w:lang w:val="de-DE"/>
        </w:rPr>
      </w:pPr>
      <w:r>
        <w:rPr>
          <w:rStyle w:val="FootnoteReference"/>
        </w:rPr>
        <w:footnoteRef/>
      </w:r>
      <w:r w:rsidRPr="00F47C24">
        <w:rPr>
          <w:lang w:val="de-DE"/>
        </w:rPr>
        <w:t xml:space="preserve"> </w:t>
      </w:r>
      <w:r>
        <w:rPr>
          <w:lang w:val="de-DE"/>
        </w:rPr>
        <w:tab/>
        <w:t xml:space="preserve">Zaussinger, Sarah et al. (2016). Studierenden Sozialerhebung 2015 Band 3 Tabellenband (Social survey on students 2015), p. 434 (in German) </w:t>
      </w:r>
      <w:hyperlink r:id="rId22" w:history="1">
        <w:r w:rsidRPr="0001019B">
          <w:rPr>
            <w:rStyle w:val="Hyperlink"/>
            <w:lang w:val="de-DE"/>
          </w:rPr>
          <w:t>http://www.sozialerhebung.at/index.php/de/studierenden-sozialerhebung-2015-band-3-tabellenband</w:t>
        </w:r>
      </w:hyperlink>
      <w:r w:rsidRPr="0001019B">
        <w:rPr>
          <w:lang w:val="de-DE"/>
        </w:rPr>
        <w:t xml:space="preserve"> (17 October 2016). </w:t>
      </w:r>
    </w:p>
  </w:footnote>
  <w:footnote w:id="29">
    <w:p w14:paraId="646D11E5" w14:textId="03D311FA" w:rsidR="005A358C" w:rsidRPr="008D759A" w:rsidRDefault="005A358C" w:rsidP="00262470">
      <w:pPr>
        <w:pStyle w:val="FootnoteText"/>
        <w:ind w:left="284" w:hanging="284"/>
        <w:rPr>
          <w:lang w:val="de-DE"/>
        </w:rPr>
      </w:pPr>
      <w:r w:rsidRPr="00642C9A">
        <w:rPr>
          <w:rStyle w:val="FootnoteReference"/>
        </w:rPr>
        <w:footnoteRef/>
      </w:r>
      <w:r w:rsidRPr="00642C9A">
        <w:rPr>
          <w:lang w:val="de-DE"/>
        </w:rPr>
        <w:t xml:space="preserve"> </w:t>
      </w:r>
      <w:r w:rsidRPr="00642C9A">
        <w:rPr>
          <w:lang w:val="de-DE"/>
        </w:rPr>
        <w:tab/>
        <w:t>Statistik Austria. Tabellenband EU-SILC 201</w:t>
      </w:r>
      <w:r>
        <w:rPr>
          <w:lang w:val="de-DE"/>
        </w:rPr>
        <w:t>5</w:t>
      </w:r>
      <w:r w:rsidRPr="00642C9A">
        <w:rPr>
          <w:lang w:val="de-DE"/>
        </w:rPr>
        <w:t>. Einkommen, Arbeit und Lebensbedi</w:t>
      </w:r>
      <w:r>
        <w:rPr>
          <w:lang w:val="de-DE"/>
        </w:rPr>
        <w:t xml:space="preserve">ngungen. </w:t>
      </w:r>
      <w:r w:rsidRPr="008D759A">
        <w:rPr>
          <w:lang w:val="de-DE"/>
        </w:rPr>
        <w:t xml:space="preserve">Wien 2015 (in German) </w:t>
      </w:r>
      <w:hyperlink r:id="rId23" w:history="1">
        <w:r w:rsidRPr="008D759A">
          <w:rPr>
            <w:rStyle w:val="Hyperlink"/>
            <w:lang w:val="de-DE"/>
          </w:rPr>
          <w:t>https://www.sozialministerium.at/cms/site/attachments/2/0/8/CH3434/CMS1460623165106/tabellenband_eu-silc_2015.pdf</w:t>
        </w:r>
      </w:hyperlink>
      <w:r w:rsidRPr="008D759A">
        <w:rPr>
          <w:lang w:val="de-DE"/>
        </w:rPr>
        <w:t xml:space="preserve"> (17 October 2016).</w:t>
      </w:r>
    </w:p>
  </w:footnote>
  <w:footnote w:id="30">
    <w:p w14:paraId="7B05BD00" w14:textId="6232F06D" w:rsidR="005A358C" w:rsidRPr="00610BA0" w:rsidRDefault="005A358C" w:rsidP="00642C9A">
      <w:pPr>
        <w:pStyle w:val="FootnoteText"/>
        <w:ind w:left="284" w:hanging="284"/>
      </w:pPr>
      <w:r w:rsidRPr="00642C9A">
        <w:rPr>
          <w:rStyle w:val="FootnoteReference"/>
        </w:rPr>
        <w:footnoteRef/>
      </w:r>
      <w:r w:rsidRPr="00610BA0">
        <w:t xml:space="preserve"> </w:t>
      </w:r>
      <w:r w:rsidRPr="00610BA0">
        <w:tab/>
        <w:t xml:space="preserve">Ibid. </w:t>
      </w:r>
    </w:p>
  </w:footnote>
  <w:footnote w:id="31">
    <w:p w14:paraId="570CB01B" w14:textId="53736D2A" w:rsidR="005A358C" w:rsidRPr="00610BA0" w:rsidRDefault="005A358C" w:rsidP="00642C9A">
      <w:pPr>
        <w:pStyle w:val="FootnoteText"/>
        <w:ind w:left="284" w:hanging="284"/>
      </w:pPr>
      <w:r w:rsidRPr="00642C9A">
        <w:rPr>
          <w:rStyle w:val="FootnoteReference"/>
        </w:rPr>
        <w:footnoteRef/>
      </w:r>
      <w:r w:rsidRPr="00610BA0">
        <w:t xml:space="preserve"> </w:t>
      </w:r>
      <w:r w:rsidRPr="00610BA0">
        <w:tab/>
        <w:t xml:space="preserve">Ibid. </w:t>
      </w:r>
    </w:p>
  </w:footnote>
  <w:footnote w:id="32">
    <w:p w14:paraId="6C647402" w14:textId="0E2FD27B" w:rsidR="005A358C" w:rsidRPr="00610BA0" w:rsidRDefault="005A358C" w:rsidP="00642C9A">
      <w:pPr>
        <w:pStyle w:val="FootnoteText"/>
        <w:ind w:left="284" w:hanging="284"/>
      </w:pPr>
      <w:r w:rsidRPr="00642C9A">
        <w:rPr>
          <w:rStyle w:val="FootnoteReference"/>
        </w:rPr>
        <w:footnoteRef/>
      </w:r>
      <w:r w:rsidRPr="00610BA0">
        <w:t xml:space="preserve"> </w:t>
      </w:r>
      <w:r w:rsidRPr="00610BA0">
        <w:tab/>
        <w:t xml:space="preserve">Ibid. </w:t>
      </w:r>
    </w:p>
  </w:footnote>
  <w:footnote w:id="33">
    <w:p w14:paraId="49060E4D" w14:textId="5BAA7393" w:rsidR="005A358C" w:rsidRPr="00642C9A" w:rsidRDefault="005A358C" w:rsidP="00642C9A">
      <w:pPr>
        <w:pStyle w:val="FootnoteText"/>
        <w:ind w:left="284" w:hanging="284"/>
      </w:pPr>
      <w:r w:rsidRPr="00642C9A">
        <w:rPr>
          <w:rStyle w:val="FootnoteReference"/>
        </w:rPr>
        <w:footnoteRef/>
      </w:r>
      <w:r w:rsidRPr="00642C9A">
        <w:t xml:space="preserve"> </w:t>
      </w:r>
      <w:r w:rsidRPr="00642C9A">
        <w:tab/>
        <w:t xml:space="preserve">National Action Plan on Disability 2012-2020, p. 83. </w:t>
      </w:r>
    </w:p>
  </w:footnote>
  <w:footnote w:id="34">
    <w:p w14:paraId="2B8A5F0D" w14:textId="77777777" w:rsidR="005A358C" w:rsidRPr="00642C9A" w:rsidRDefault="005A358C" w:rsidP="0000171F">
      <w:pPr>
        <w:pStyle w:val="FootnoteText"/>
        <w:ind w:left="284" w:hanging="284"/>
        <w:rPr>
          <w:lang w:val="de-DE"/>
        </w:rPr>
      </w:pPr>
      <w:r w:rsidRPr="00642C9A">
        <w:rPr>
          <w:rStyle w:val="FootnoteReference"/>
        </w:rPr>
        <w:footnoteRef/>
      </w:r>
      <w:r w:rsidRPr="00642C9A">
        <w:rPr>
          <w:lang w:val="de-DE"/>
        </w:rPr>
        <w:t xml:space="preserve"> </w:t>
      </w:r>
      <w:r w:rsidRPr="00642C9A">
        <w:rPr>
          <w:lang w:val="de-DE"/>
        </w:rPr>
        <w:tab/>
      </w:r>
      <w:r w:rsidRPr="00642C9A">
        <w:rPr>
          <w:lang w:val="de-AT"/>
        </w:rPr>
        <w:t>Wroblewski, Angela (2012), Arbeitsmarktintegration von Menschen mit Behinderung. Hintergrundbericht unter besonderer Berücksichtigung der Bundesländerebene, Studie im Auftrag der Essl Foundation, Wien.</w:t>
      </w:r>
    </w:p>
  </w:footnote>
  <w:footnote w:id="35">
    <w:p w14:paraId="14E0E098" w14:textId="3D71CAF7" w:rsidR="005A358C" w:rsidRPr="00642C9A" w:rsidRDefault="005A358C" w:rsidP="006978DC">
      <w:pPr>
        <w:ind w:left="284" w:hanging="284"/>
        <w:rPr>
          <w:sz w:val="20"/>
          <w:szCs w:val="20"/>
          <w:lang w:val="de-AT"/>
        </w:rPr>
      </w:pPr>
      <w:r w:rsidRPr="00642C9A">
        <w:rPr>
          <w:rStyle w:val="FootnoteReference"/>
          <w:sz w:val="20"/>
          <w:szCs w:val="20"/>
        </w:rPr>
        <w:footnoteRef/>
      </w:r>
      <w:r w:rsidRPr="00642C9A">
        <w:rPr>
          <w:sz w:val="20"/>
          <w:szCs w:val="20"/>
          <w:lang w:val="de-DE"/>
        </w:rPr>
        <w:t xml:space="preserve"> </w:t>
      </w:r>
      <w:r w:rsidRPr="00642C9A">
        <w:rPr>
          <w:sz w:val="20"/>
          <w:szCs w:val="20"/>
          <w:lang w:val="de-DE"/>
        </w:rPr>
        <w:tab/>
      </w:r>
      <w:r w:rsidRPr="00642C9A">
        <w:rPr>
          <w:sz w:val="20"/>
          <w:szCs w:val="20"/>
          <w:lang w:val="de-AT"/>
        </w:rPr>
        <w:t xml:space="preserve">Wroblewski, Angela; Segert, Astrid; Laimer, Andrea (2012), AkademikerInnen mit Behinderungen und chronischen Erkrankungen. Erfahrungen beim Berufseinstieg, Unterstützungsstrukturen und Handlungsbedarf aus Sicht von Betroffenen und ExpertInnen. Teil 2 der Zusatzstudie im Rahmen der Studierenden-Sozialerhebung 2011, Studie im Auftrag des BMWFW, Wien (in German). </w:t>
      </w:r>
    </w:p>
  </w:footnote>
  <w:footnote w:id="36">
    <w:p w14:paraId="75980167" w14:textId="430D8AA5" w:rsidR="005A358C" w:rsidRPr="001A711F" w:rsidRDefault="005A358C" w:rsidP="006978DC">
      <w:pPr>
        <w:pStyle w:val="FootnoteText"/>
        <w:ind w:left="284" w:hanging="284"/>
      </w:pPr>
      <w:r w:rsidRPr="00642C9A">
        <w:rPr>
          <w:rStyle w:val="FootnoteReference"/>
        </w:rPr>
        <w:footnoteRef/>
      </w:r>
      <w:r w:rsidRPr="001A711F">
        <w:t xml:space="preserve"> </w:t>
      </w:r>
      <w:r w:rsidRPr="001A711F">
        <w:tab/>
      </w:r>
      <w:hyperlink r:id="rId24" w:history="1">
        <w:r w:rsidRPr="001A711F">
          <w:rPr>
            <w:rStyle w:val="Hyperlink"/>
          </w:rPr>
          <w:t>http://www.fit2work.at</w:t>
        </w:r>
      </w:hyperlink>
      <w:r w:rsidRPr="001A711F">
        <w:t xml:space="preserve"> (in German) (21 October 2015). </w:t>
      </w:r>
    </w:p>
  </w:footnote>
  <w:footnote w:id="37">
    <w:p w14:paraId="2703D25A" w14:textId="45239E5B" w:rsidR="005A358C" w:rsidRPr="00642C9A" w:rsidRDefault="005A358C" w:rsidP="00642C9A">
      <w:pPr>
        <w:pStyle w:val="FootnoteText"/>
        <w:ind w:left="284" w:hanging="284"/>
      </w:pPr>
      <w:r w:rsidRPr="00642C9A">
        <w:rPr>
          <w:rStyle w:val="FootnoteReference"/>
        </w:rPr>
        <w:footnoteRef/>
      </w:r>
      <w:r w:rsidRPr="00642C9A">
        <w:rPr>
          <w:lang w:val="de-DE"/>
        </w:rPr>
        <w:t xml:space="preserve"> </w:t>
      </w:r>
      <w:r w:rsidRPr="00642C9A">
        <w:rPr>
          <w:lang w:val="de-DE"/>
        </w:rPr>
        <w:tab/>
        <w:t xml:space="preserve">Die Armutskonferenz. Armut in Österreich: Keine Entspannung. </w:t>
      </w:r>
      <w:r w:rsidRPr="00642C9A">
        <w:t xml:space="preserve">October 22, 2014 (in German). </w:t>
      </w:r>
      <w:hyperlink r:id="rId25" w:history="1">
        <w:r w:rsidRPr="008D759A">
          <w:rPr>
            <w:rStyle w:val="Hyperlink"/>
          </w:rPr>
          <w:t>http://www.armutskonferenz.at/news/news-2014/armut-in-oesterreich-keine-entspannung.html</w:t>
        </w:r>
      </w:hyperlink>
      <w:r w:rsidRPr="006978DC">
        <w:t xml:space="preserve"> </w:t>
      </w:r>
      <w:r w:rsidRPr="00642C9A">
        <w:t>(15 October 2015).</w:t>
      </w:r>
    </w:p>
  </w:footnote>
  <w:footnote w:id="38">
    <w:p w14:paraId="4AE0CE78" w14:textId="689954B3" w:rsidR="005A358C" w:rsidRPr="00642C9A" w:rsidRDefault="005A358C" w:rsidP="00642C9A">
      <w:pPr>
        <w:ind w:left="284" w:hanging="284"/>
        <w:rPr>
          <w:sz w:val="20"/>
          <w:szCs w:val="20"/>
          <w:lang w:val="de-DE"/>
        </w:rPr>
      </w:pPr>
      <w:r w:rsidRPr="00642C9A">
        <w:rPr>
          <w:rStyle w:val="FootnoteReference"/>
          <w:sz w:val="20"/>
          <w:szCs w:val="20"/>
        </w:rPr>
        <w:footnoteRef/>
      </w:r>
      <w:r w:rsidRPr="00642C9A">
        <w:rPr>
          <w:sz w:val="20"/>
          <w:szCs w:val="20"/>
          <w:lang w:val="de-DE"/>
        </w:rPr>
        <w:t xml:space="preserve"> </w:t>
      </w:r>
      <w:r w:rsidRPr="00642C9A">
        <w:rPr>
          <w:sz w:val="20"/>
          <w:szCs w:val="20"/>
          <w:lang w:val="de-DE"/>
        </w:rPr>
        <w:tab/>
        <w:t>“Wir können noch nicht einmal sagen, wie viele Personen das betrifft, werden Menschen mit Behinderungen in der Statistik bei den Kindern mitgezählt.“ Armutskonferenz. Mindestsicherung (Mindestsicherungskonferenz 10 Oktober 2014) (in German). (15 October 2015)</w:t>
      </w:r>
      <w:r>
        <w:rPr>
          <w:sz w:val="20"/>
          <w:szCs w:val="20"/>
          <w:lang w:val="de-DE"/>
        </w:rPr>
        <w:t>.</w:t>
      </w:r>
    </w:p>
  </w:footnote>
  <w:footnote w:id="39">
    <w:p w14:paraId="67A35662" w14:textId="0ADD651F" w:rsidR="005A358C" w:rsidRPr="00642C9A" w:rsidRDefault="005A358C" w:rsidP="004D7F52">
      <w:pPr>
        <w:pStyle w:val="FootnoteText"/>
        <w:ind w:left="284" w:hanging="284"/>
        <w:rPr>
          <w:lang w:val="de-DE"/>
        </w:rPr>
      </w:pPr>
      <w:r w:rsidRPr="00642C9A">
        <w:rPr>
          <w:rStyle w:val="FootnoteReference"/>
        </w:rPr>
        <w:footnoteRef/>
      </w:r>
      <w:r w:rsidRPr="00642C9A">
        <w:rPr>
          <w:lang w:val="de-DE"/>
        </w:rPr>
        <w:t xml:space="preserve"> </w:t>
      </w:r>
      <w:r w:rsidRPr="00642C9A">
        <w:rPr>
          <w:lang w:val="de-DE"/>
        </w:rPr>
        <w:tab/>
        <w:t>Die Armutskonferenz. Menschen mit ‘erheblicher Behinderung’ erhalten vom Bund eine erhöhte Familienbeihilfe – OÖ und Kärnten nehmen sie ihnen in der Bedarfsorientierten Mindestsicherung wieder weg. April 2014 (in German), (</w:t>
      </w:r>
      <w:r>
        <w:rPr>
          <w:lang w:val="de-DE"/>
        </w:rPr>
        <w:t xml:space="preserve">15 </w:t>
      </w:r>
      <w:r w:rsidRPr="00642C9A">
        <w:rPr>
          <w:lang w:val="de-DE"/>
        </w:rPr>
        <w:t xml:space="preserve">October 2015). </w:t>
      </w:r>
    </w:p>
  </w:footnote>
  <w:footnote w:id="40">
    <w:p w14:paraId="6D627B23" w14:textId="48223215" w:rsidR="005A358C" w:rsidRPr="001A711F" w:rsidRDefault="005A358C" w:rsidP="00125361">
      <w:pPr>
        <w:pStyle w:val="FootnoteText"/>
        <w:ind w:left="284" w:hanging="284"/>
        <w:rPr>
          <w:lang w:val="de-DE"/>
        </w:rPr>
      </w:pPr>
      <w:r w:rsidRPr="00642C9A">
        <w:rPr>
          <w:rStyle w:val="FootnoteReference"/>
        </w:rPr>
        <w:footnoteRef/>
      </w:r>
      <w:r w:rsidRPr="00642C9A">
        <w:rPr>
          <w:lang w:val="de-DE"/>
        </w:rPr>
        <w:t xml:space="preserve"> </w:t>
      </w:r>
      <w:r>
        <w:rPr>
          <w:lang w:val="de-DE"/>
        </w:rPr>
        <w:tab/>
      </w:r>
      <w:r w:rsidRPr="00642C9A">
        <w:rPr>
          <w:lang w:val="de-DE"/>
        </w:rPr>
        <w:t>Armutsnetzwerk OÖ. Mindestsicherung ist für Menschen mit Behinderungen zu niedri</w:t>
      </w:r>
      <w:r>
        <w:rPr>
          <w:lang w:val="de-DE"/>
        </w:rPr>
        <w:t xml:space="preserve">g. 3. Februar 2015 (in German) </w:t>
      </w:r>
      <w:hyperlink r:id="rId26" w:history="1">
        <w:r w:rsidRPr="00BF021F">
          <w:rPr>
            <w:rStyle w:val="Hyperlink"/>
            <w:lang w:val="de-DE"/>
          </w:rPr>
          <w:t>http://www.armutsnetzwerk-ooe.at/mindestsicherung-ist-fuer-menschen-mit-behinderungen-zu-niedrig/</w:t>
        </w:r>
      </w:hyperlink>
      <w:r w:rsidRPr="004175BF" w:rsidDel="00125361">
        <w:rPr>
          <w:lang w:val="de-DE"/>
        </w:rPr>
        <w:t xml:space="preserve"> </w:t>
      </w:r>
      <w:r w:rsidRPr="001A711F">
        <w:rPr>
          <w:lang w:val="de-DE"/>
        </w:rPr>
        <w:t>(16 October 2015).</w:t>
      </w:r>
    </w:p>
  </w:footnote>
  <w:footnote w:id="41">
    <w:p w14:paraId="01B3F1BD" w14:textId="74E7F927" w:rsidR="005A358C" w:rsidRPr="004175BF" w:rsidRDefault="005A358C" w:rsidP="009803D5">
      <w:pPr>
        <w:pStyle w:val="FootnoteText"/>
        <w:ind w:left="284" w:hanging="284"/>
        <w:rPr>
          <w:lang w:val="de-DE"/>
        </w:rPr>
      </w:pPr>
      <w:r w:rsidRPr="00642C9A">
        <w:rPr>
          <w:rStyle w:val="FootnoteReference"/>
        </w:rPr>
        <w:footnoteRef/>
      </w:r>
      <w:r w:rsidRPr="00642C9A">
        <w:rPr>
          <w:lang w:val="de-DE"/>
        </w:rPr>
        <w:t xml:space="preserve"> </w:t>
      </w:r>
      <w:r>
        <w:rPr>
          <w:lang w:val="de-DE"/>
        </w:rPr>
        <w:tab/>
      </w:r>
      <w:r w:rsidRPr="00642C9A">
        <w:rPr>
          <w:lang w:val="de-DE"/>
        </w:rPr>
        <w:t>Verfassungsgerichtshof. Entscheidung</w:t>
      </w:r>
      <w:r>
        <w:rPr>
          <w:lang w:val="de-DE"/>
        </w:rPr>
        <w:t xml:space="preserve">stext V 75/2014 ua (in German) </w:t>
      </w:r>
      <w:hyperlink r:id="rId27" w:history="1">
        <w:r w:rsidRPr="006978DC">
          <w:rPr>
            <w:rStyle w:val="Hyperlink"/>
            <w:lang w:val="de-DE"/>
          </w:rPr>
          <w:t>https://www.ris.bka.gv.at/Dokument.wxe?Abfrage=Vfgh&amp;Dokumentnummer=JFT_20141126_14V00075_00</w:t>
        </w:r>
      </w:hyperlink>
      <w:r w:rsidRPr="004175BF">
        <w:rPr>
          <w:lang w:val="de-DE"/>
        </w:rPr>
        <w:t xml:space="preserve"> (16 October 2015). </w:t>
      </w:r>
    </w:p>
  </w:footnote>
  <w:footnote w:id="42">
    <w:p w14:paraId="3F947E12" w14:textId="73EA95A5" w:rsidR="005A358C" w:rsidRPr="009A3178" w:rsidRDefault="005A358C" w:rsidP="00BF021F">
      <w:pPr>
        <w:pStyle w:val="FootnoteText"/>
        <w:ind w:left="284" w:hanging="284"/>
        <w:rPr>
          <w:lang w:val="de-DE"/>
        </w:rPr>
      </w:pPr>
      <w:r>
        <w:rPr>
          <w:rStyle w:val="FootnoteReference"/>
        </w:rPr>
        <w:footnoteRef/>
      </w:r>
      <w:r w:rsidRPr="004175BF">
        <w:rPr>
          <w:lang w:val="de-DE"/>
        </w:rPr>
        <w:t xml:space="preserve"> </w:t>
      </w:r>
      <w:r>
        <w:rPr>
          <w:lang w:val="de-DE"/>
        </w:rPr>
        <w:tab/>
        <w:t xml:space="preserve">Die Armutskonferenz. Die vergessenen Probleme in der Mindestsicherung, April 2016 (in German) </w:t>
      </w:r>
      <w:hyperlink r:id="rId28" w:history="1">
        <w:r w:rsidRPr="00270472">
          <w:rPr>
            <w:rStyle w:val="Hyperlink"/>
            <w:lang w:val="de-DE"/>
          </w:rPr>
          <w:t>http://www.armutskonferenz.at/news/news-2016/die-vergessenen-probleme-in-der-mindestsicherung.html</w:t>
        </w:r>
      </w:hyperlink>
      <w:r>
        <w:rPr>
          <w:lang w:val="de-DE"/>
        </w:rPr>
        <w:t xml:space="preserve"> (17 October 2016); also: Die Armutskonferenz. Armutskonferenz: Sieben Punkte zur Reform der Mindestsicherung, December 2015 (in German) </w:t>
      </w:r>
      <w:hyperlink r:id="rId29" w:history="1">
        <w:r w:rsidRPr="009A3178">
          <w:rPr>
            <w:rStyle w:val="Hyperlink"/>
            <w:lang w:val="de-DE"/>
          </w:rPr>
          <w:t>http://www.ots.at/presseaussendung/OTS_20151217_OTS0019/armutskonferenz-sieben-punkte-zur-reform-der-mindestsicherung</w:t>
        </w:r>
      </w:hyperlink>
      <w:r w:rsidRPr="009A3178">
        <w:rPr>
          <w:lang w:val="de-DE"/>
        </w:rPr>
        <w:t xml:space="preserve"> (17 October 2016). </w:t>
      </w:r>
    </w:p>
  </w:footnote>
  <w:footnote w:id="43">
    <w:p w14:paraId="3EF0F8C4" w14:textId="6600C763" w:rsidR="005A358C" w:rsidRPr="002E3AAD" w:rsidRDefault="005A358C" w:rsidP="00BF021F">
      <w:pPr>
        <w:pStyle w:val="FootnoteText"/>
        <w:ind w:left="284" w:hanging="284"/>
      </w:pPr>
      <w:r>
        <w:rPr>
          <w:rStyle w:val="FootnoteReference"/>
        </w:rPr>
        <w:footnoteRef/>
      </w:r>
      <w:r w:rsidRPr="009A3178">
        <w:t xml:space="preserve"> </w:t>
      </w:r>
      <w:r w:rsidRPr="009A3178">
        <w:tab/>
        <w:t xml:space="preserve">Tagung: NGO-Forum der Volksanwaltschaft (in German) </w:t>
      </w:r>
      <w:hyperlink r:id="rId30" w:history="1">
        <w:r w:rsidRPr="00270472">
          <w:rPr>
            <w:rStyle w:val="Hyperlink"/>
          </w:rPr>
          <w:t>http://www.behindertenarbeit.at/48527/tagung-ngo-forum-der-volksanwaltschaft/</w:t>
        </w:r>
      </w:hyperlink>
      <w:r>
        <w:t xml:space="preserve"> (17 October 2016) And Protocol for Workshop 1 on Persons with Disabilities and Poverty: </w:t>
      </w:r>
      <w:hyperlink r:id="rId31" w:history="1">
        <w:r w:rsidRPr="00270472">
          <w:rPr>
            <w:rStyle w:val="Hyperlink"/>
          </w:rPr>
          <w:t>http://volksanwaltschaft.gv.at/downloads/816k/NGO%20Forum%202016_Protokoll%20WS%201.pdf</w:t>
        </w:r>
      </w:hyperlink>
      <w:r>
        <w:t xml:space="preserve"> (17 October 2016). </w:t>
      </w:r>
    </w:p>
  </w:footnote>
  <w:footnote w:id="44">
    <w:p w14:paraId="4050F8DE" w14:textId="2499EF9C" w:rsidR="005A358C" w:rsidRPr="0001019B" w:rsidRDefault="005A358C" w:rsidP="00BF021F">
      <w:pPr>
        <w:pStyle w:val="FootnoteText"/>
        <w:ind w:left="284" w:hanging="284"/>
      </w:pPr>
      <w:r w:rsidRPr="00642C9A">
        <w:rPr>
          <w:rStyle w:val="FootnoteReference"/>
        </w:rPr>
        <w:footnoteRef/>
      </w:r>
      <w:r w:rsidRPr="00642C9A">
        <w:t xml:space="preserve"> </w:t>
      </w:r>
      <w:r>
        <w:tab/>
      </w:r>
      <w:r w:rsidRPr="00642C9A">
        <w:t xml:space="preserve">This is just one of many examples. – Die Armutskonferenz. </w:t>
      </w:r>
      <w:r w:rsidRPr="00642C9A">
        <w:rPr>
          <w:lang w:val="de-DE"/>
        </w:rPr>
        <w:t xml:space="preserve">Stellungnahme der Armutskonferenz: Enquete-Kommission zur Stärkung der Demokratie. </w:t>
      </w:r>
      <w:r w:rsidRPr="0001019B">
        <w:t xml:space="preserve">1 Juni 2015 (in German). </w:t>
      </w:r>
      <w:hyperlink r:id="rId32" w:history="1">
        <w:r w:rsidRPr="00BF021F">
          <w:rPr>
            <w:rStyle w:val="Hyperlink"/>
          </w:rPr>
          <w:t>https://www.parlament.gv.at/PAKT/VHG/XXV/I/I_00791/imfname_468785.pdf</w:t>
        </w:r>
      </w:hyperlink>
      <w:r w:rsidRPr="0001019B">
        <w:t xml:space="preserve"> (16 October 2015). </w:t>
      </w:r>
    </w:p>
  </w:footnote>
  <w:footnote w:id="45">
    <w:p w14:paraId="0E74983D" w14:textId="44AF5D07" w:rsidR="005A358C" w:rsidRPr="00BF021F" w:rsidRDefault="005A358C" w:rsidP="00BF021F">
      <w:pPr>
        <w:pStyle w:val="FootnoteText"/>
        <w:ind w:left="284" w:hanging="284"/>
      </w:pPr>
      <w:r w:rsidRPr="00BF021F">
        <w:rPr>
          <w:rStyle w:val="FootnoteReference"/>
        </w:rPr>
        <w:footnoteRef/>
      </w:r>
      <w:r>
        <w:t xml:space="preserve"> </w:t>
      </w:r>
      <w:r>
        <w:tab/>
      </w:r>
      <w:r w:rsidRPr="00BF021F">
        <w:t xml:space="preserve">Federal Chancellery (2016). National Reform Programme Austria, p. 19. </w:t>
      </w:r>
    </w:p>
  </w:footnote>
  <w:footnote w:id="46">
    <w:p w14:paraId="6EE0207D" w14:textId="2CE10653" w:rsidR="005A358C" w:rsidRPr="00BF021F" w:rsidRDefault="005A358C" w:rsidP="00BF021F">
      <w:pPr>
        <w:pStyle w:val="FootnoteText"/>
        <w:ind w:left="284" w:hanging="284"/>
      </w:pPr>
      <w:r w:rsidRPr="00BF021F">
        <w:rPr>
          <w:rStyle w:val="FootnoteReference"/>
        </w:rPr>
        <w:footnoteRef/>
      </w:r>
      <w:r w:rsidRPr="00BF021F">
        <w:t xml:space="preserve"> </w:t>
      </w:r>
      <w:r w:rsidRPr="00BF021F">
        <w:tab/>
        <w:t>2015 personal information upon request of the authors.</w:t>
      </w:r>
    </w:p>
  </w:footnote>
  <w:footnote w:id="47">
    <w:p w14:paraId="08A64E45" w14:textId="5AEEAF1B" w:rsidR="005A358C" w:rsidRPr="00BF021F" w:rsidRDefault="005A358C" w:rsidP="00BF021F">
      <w:pPr>
        <w:pStyle w:val="Default"/>
        <w:ind w:left="284" w:hanging="284"/>
        <w:rPr>
          <w:rFonts w:ascii="Arial" w:hAnsi="Arial" w:cs="Arial"/>
          <w:lang w:val="en-GB"/>
        </w:rPr>
      </w:pPr>
      <w:r w:rsidRPr="00BF021F">
        <w:rPr>
          <w:rStyle w:val="FootnoteReference"/>
          <w:rFonts w:ascii="Arial" w:hAnsi="Arial" w:cs="Arial"/>
          <w:sz w:val="20"/>
          <w:szCs w:val="20"/>
        </w:rPr>
        <w:footnoteRef/>
      </w:r>
      <w:r w:rsidRPr="009A3178">
        <w:rPr>
          <w:rFonts w:ascii="Arial" w:hAnsi="Arial" w:cs="Arial"/>
          <w:sz w:val="20"/>
          <w:szCs w:val="20"/>
          <w:lang w:val="en-GB"/>
        </w:rPr>
        <w:t xml:space="preserve"> </w:t>
      </w:r>
      <w:r w:rsidRPr="009A3178">
        <w:rPr>
          <w:rFonts w:ascii="Arial" w:hAnsi="Arial" w:cs="Arial"/>
          <w:sz w:val="20"/>
          <w:szCs w:val="20"/>
          <w:lang w:val="en-GB"/>
        </w:rPr>
        <w:tab/>
      </w:r>
      <w:r w:rsidRPr="00BF021F">
        <w:rPr>
          <w:rFonts w:ascii="Arial" w:hAnsi="Arial" w:cs="Arial"/>
          <w:sz w:val="20"/>
          <w:szCs w:val="20"/>
          <w:lang w:val="en-GB"/>
        </w:rPr>
        <w:t>(Re-)integration is also mentioned with regard to so called prevention programmes as ’fit2work’ with a reinforced focus on working ability and (re-)integration management.</w:t>
      </w:r>
    </w:p>
  </w:footnote>
  <w:footnote w:id="48">
    <w:p w14:paraId="5416680C" w14:textId="27ADC51B" w:rsidR="005A358C" w:rsidRPr="002C13B7" w:rsidRDefault="005A358C" w:rsidP="00BF021F">
      <w:pPr>
        <w:pStyle w:val="FootnoteText"/>
        <w:ind w:left="284" w:hanging="284"/>
      </w:pPr>
      <w:r w:rsidRPr="00BF021F">
        <w:rPr>
          <w:rStyle w:val="FootnoteReference"/>
        </w:rPr>
        <w:footnoteRef/>
      </w:r>
      <w:r w:rsidRPr="00BF021F">
        <w:t xml:space="preserve"> </w:t>
      </w:r>
      <w:r>
        <w:tab/>
      </w:r>
      <w:r w:rsidRPr="00BF021F">
        <w:t>Der Standard 25th November 2015: Rückkehr aus Invalidität gelingt fast nie (in German; Return from Invalidity is scarcely successful) (</w:t>
      </w:r>
      <w:hyperlink r:id="rId33" w:history="1">
        <w:r w:rsidRPr="00BF021F">
          <w:rPr>
            <w:rStyle w:val="Hyperlink"/>
          </w:rPr>
          <w:t>http://derstandard.at/2000026349174/Die-Rueckkehr-aus-der-Invaliditaet-gelingt-fast-nie</w:t>
        </w:r>
      </w:hyperlink>
      <w:r w:rsidRPr="00BF021F">
        <w:t>) (24 August 2016).</w:t>
      </w:r>
      <w:r>
        <w:t xml:space="preserve"> </w:t>
      </w:r>
    </w:p>
  </w:footnote>
  <w:footnote w:id="49">
    <w:p w14:paraId="7AA269DA" w14:textId="6E6E2EE1" w:rsidR="005A358C" w:rsidRPr="00207204" w:rsidRDefault="005A358C" w:rsidP="00BF021F">
      <w:pPr>
        <w:pStyle w:val="FootnoteText"/>
        <w:ind w:left="284" w:hanging="284"/>
      </w:pPr>
      <w:r>
        <w:rPr>
          <w:rStyle w:val="FootnoteReference"/>
        </w:rPr>
        <w:footnoteRef/>
      </w:r>
      <w:r>
        <w:t xml:space="preserve"> </w:t>
      </w:r>
      <w:r>
        <w:tab/>
        <w:t xml:space="preserve">See data provided officially: </w:t>
      </w:r>
      <w:hyperlink r:id="rId34" w:history="1">
        <w:r w:rsidRPr="00D429BE">
          <w:rPr>
            <w:rStyle w:val="Hyperlink"/>
          </w:rPr>
          <w:t>http://www.dnet.at/elis/Tabellen/arbeitsmarkt/behinderte_jahr.pdf</w:t>
        </w:r>
      </w:hyperlink>
      <w:r>
        <w:t>.</w:t>
      </w:r>
    </w:p>
  </w:footnote>
  <w:footnote w:id="50">
    <w:p w14:paraId="194B8B8E" w14:textId="60132F0D" w:rsidR="005A358C" w:rsidRPr="009C52C5" w:rsidRDefault="005A358C" w:rsidP="00BF021F">
      <w:pPr>
        <w:pStyle w:val="FootnoteText"/>
        <w:ind w:left="284" w:hanging="284"/>
      </w:pPr>
      <w:r>
        <w:rPr>
          <w:rStyle w:val="FootnoteReference"/>
        </w:rPr>
        <w:footnoteRef/>
      </w:r>
      <w:r>
        <w:t xml:space="preserve"> </w:t>
      </w:r>
      <w:r>
        <w:tab/>
      </w:r>
      <w:r w:rsidRPr="00CF36CF">
        <w:t>Institute for Advanced Studies (2016). Invaliditätspension aufgrund psychischer Beeinträchtigung (</w:t>
      </w:r>
      <w:r>
        <w:t xml:space="preserve">in German; </w:t>
      </w:r>
      <w:r w:rsidRPr="00CF36CF">
        <w:t>Invalid</w:t>
      </w:r>
      <w:r>
        <w:t>i</w:t>
      </w:r>
      <w:r w:rsidRPr="00CF36CF">
        <w:t>ty pension on grounds of psychosocial disabilities)</w:t>
      </w:r>
      <w:r>
        <w:t xml:space="preserve"> (24 August 2016)</w:t>
      </w:r>
      <w:r w:rsidRPr="00CF36CF">
        <w:t xml:space="preserve"> </w:t>
      </w:r>
      <w:r>
        <w:t>(</w:t>
      </w:r>
      <w:hyperlink r:id="rId35" w:history="1">
        <w:r w:rsidRPr="00D15DB9">
          <w:rPr>
            <w:rStyle w:val="Hyperlink"/>
          </w:rPr>
          <w:t>http://www.ihs.ac.at/fileadmin/public/media_corner/user_upload/Praesentation_IPensionen_Czypionka.pdf</w:t>
        </w:r>
      </w:hyperlink>
      <w:r>
        <w:t>).</w:t>
      </w:r>
    </w:p>
  </w:footnote>
  <w:footnote w:id="51">
    <w:p w14:paraId="33050308" w14:textId="528A5324" w:rsidR="005A358C" w:rsidRPr="004949BE" w:rsidRDefault="005A358C" w:rsidP="00BF021F">
      <w:pPr>
        <w:pStyle w:val="FootnoteText"/>
        <w:ind w:left="284" w:hanging="284"/>
      </w:pPr>
      <w:r>
        <w:rPr>
          <w:rStyle w:val="FootnoteReference"/>
        </w:rPr>
        <w:footnoteRef/>
      </w:r>
      <w:r w:rsidRPr="00D62032">
        <w:t xml:space="preserve"> </w:t>
      </w:r>
      <w:r>
        <w:tab/>
      </w:r>
      <w:r w:rsidRPr="007D683A">
        <w:t xml:space="preserve">Behindertenanwalt (2016). Press release 26th </w:t>
      </w:r>
      <w:r>
        <w:t xml:space="preserve">July 2016, p. 2 (in German) </w:t>
      </w:r>
      <w:hyperlink r:id="rId36" w:history="1">
        <w:r w:rsidRPr="007D683A">
          <w:rPr>
            <w:rStyle w:val="Hyperlink"/>
          </w:rPr>
          <w:t>http://www.behindertenanwalt.gv.at/fileadmin/user_upload/dokumente/Presseunterlage_Pressegespraech_28.2.2016.pdf</w:t>
        </w:r>
      </w:hyperlink>
      <w:r>
        <w:t>.</w:t>
      </w:r>
    </w:p>
  </w:footnote>
  <w:footnote w:id="52">
    <w:p w14:paraId="57E1D0CA" w14:textId="36DF44A5" w:rsidR="005A358C" w:rsidRPr="00D34A7D" w:rsidRDefault="005A358C" w:rsidP="006464CE">
      <w:pPr>
        <w:pStyle w:val="FootnoteText"/>
        <w:ind w:left="284" w:hanging="284"/>
        <w:rPr>
          <w:lang w:val="de-DE"/>
        </w:rPr>
      </w:pPr>
      <w:r>
        <w:rPr>
          <w:rStyle w:val="FootnoteReference"/>
        </w:rPr>
        <w:footnoteRef/>
      </w:r>
      <w:r w:rsidRPr="00EA658C">
        <w:rPr>
          <w:lang w:val="de-DE"/>
        </w:rPr>
        <w:t xml:space="preserve"> </w:t>
      </w:r>
      <w:r>
        <w:rPr>
          <w:lang w:val="de-DE"/>
        </w:rPr>
        <w:tab/>
      </w:r>
      <w:r w:rsidRPr="00EA658C">
        <w:rPr>
          <w:lang w:val="de-DE"/>
        </w:rPr>
        <w:t>Volksanwaltschaft (2016). Bericht der Volksanwaltschaft an den National- und Bundesrat</w:t>
      </w:r>
      <w:r>
        <w:rPr>
          <w:lang w:val="de-DE"/>
        </w:rPr>
        <w:t xml:space="preserve"> 2015. Band 2. Nationale Menschenrechtskontrolle,</w:t>
      </w:r>
      <w:r w:rsidRPr="00EA658C">
        <w:rPr>
          <w:lang w:val="de-DE"/>
        </w:rPr>
        <w:t xml:space="preserve"> p. 79f</w:t>
      </w:r>
      <w:r>
        <w:rPr>
          <w:lang w:val="de-DE"/>
        </w:rPr>
        <w:t xml:space="preserve"> (in German) </w:t>
      </w:r>
      <w:hyperlink r:id="rId37" w:history="1">
        <w:r w:rsidRPr="006464CE">
          <w:rPr>
            <w:rStyle w:val="Hyperlink"/>
            <w:lang w:val="de-DE"/>
          </w:rPr>
          <w:t>http://volksanwaltschaft.gv.at/downloads/8n2qb/PB39pr%C3%A4ventiv.pdf</w:t>
        </w:r>
      </w:hyperlink>
      <w:r w:rsidRPr="00D34A7D">
        <w:rPr>
          <w:lang w:val="de-DE"/>
        </w:rPr>
        <w:t xml:space="preserve"> (8 August 2016).</w:t>
      </w:r>
    </w:p>
  </w:footnote>
  <w:footnote w:id="53">
    <w:p w14:paraId="414620A8" w14:textId="0E395FE4" w:rsidR="005A358C" w:rsidRPr="00642C9A" w:rsidRDefault="005A358C" w:rsidP="006464CE">
      <w:pPr>
        <w:pStyle w:val="FootnoteText"/>
        <w:ind w:left="284" w:hanging="284"/>
      </w:pPr>
      <w:r w:rsidRPr="00642C9A">
        <w:rPr>
          <w:rStyle w:val="FootnoteReference"/>
        </w:rPr>
        <w:footnoteRef/>
      </w:r>
      <w:r w:rsidRPr="00642C9A">
        <w:t xml:space="preserve"> </w:t>
      </w:r>
      <w:r>
        <w:tab/>
      </w:r>
      <w:r w:rsidRPr="00642C9A">
        <w:t xml:space="preserve">Federal Chancellery </w:t>
      </w:r>
      <w:r>
        <w:t>(</w:t>
      </w:r>
      <w:r w:rsidRPr="00642C9A">
        <w:t>201</w:t>
      </w:r>
      <w:r>
        <w:t xml:space="preserve">6). National Reform Programme Austria, pp. 25ff. </w:t>
      </w:r>
    </w:p>
  </w:footnote>
  <w:footnote w:id="54">
    <w:p w14:paraId="074D7FD6" w14:textId="4B772666" w:rsidR="005A358C" w:rsidRPr="006464CE" w:rsidRDefault="005A358C" w:rsidP="006464CE">
      <w:pPr>
        <w:pStyle w:val="FootnoteText"/>
        <w:ind w:left="284" w:hanging="284"/>
        <w:rPr>
          <w:lang w:val="de-DE"/>
        </w:rPr>
      </w:pPr>
      <w:r>
        <w:rPr>
          <w:rStyle w:val="FootnoteReference"/>
        </w:rPr>
        <w:footnoteRef/>
      </w:r>
      <w:r>
        <w:rPr>
          <w:lang w:val="de-DE"/>
        </w:rPr>
        <w:t xml:space="preserve"> </w:t>
      </w:r>
      <w:r>
        <w:rPr>
          <w:lang w:val="de-DE"/>
        </w:rPr>
        <w:tab/>
      </w:r>
      <w:r w:rsidRPr="004D6B24">
        <w:rPr>
          <w:lang w:val="de-DE"/>
        </w:rPr>
        <w:t xml:space="preserve">Pernegger, Maria (2916). </w:t>
      </w:r>
      <w:r w:rsidRPr="00683560">
        <w:rPr>
          <w:lang w:val="de-DE"/>
        </w:rPr>
        <w:t xml:space="preserve">Die mediale Inszenierung von Menschen mit Behinderungen in </w:t>
      </w:r>
      <w:r>
        <w:rPr>
          <w:lang w:val="de-DE"/>
        </w:rPr>
        <w:t>österreichischen Massenmedien (</w:t>
      </w:r>
      <w:r w:rsidRPr="00683560">
        <w:rPr>
          <w:lang w:val="de-DE"/>
        </w:rPr>
        <w:t>The presentation of persons with disabilities in Austrian Mass media</w:t>
      </w:r>
      <w:r>
        <w:rPr>
          <w:lang w:val="de-DE"/>
        </w:rPr>
        <w:t xml:space="preserve">), p. 10 (in German) </w:t>
      </w:r>
      <w:hyperlink r:id="rId38" w:history="1">
        <w:r w:rsidRPr="006464CE">
          <w:rPr>
            <w:rStyle w:val="Hyperlink"/>
            <w:lang w:val="de-DE"/>
          </w:rPr>
          <w:t>https://kommunikationsradar.files.wordpress.com/2016/07/studienergebnisse_pilotprojekt_inklusion_q2_2016.pdf</w:t>
        </w:r>
      </w:hyperlink>
      <w:r w:rsidRPr="006464CE">
        <w:rPr>
          <w:lang w:val="de-DE"/>
        </w:rPr>
        <w:t xml:space="preserve"> (8 August 2016).</w:t>
      </w:r>
    </w:p>
  </w:footnote>
  <w:footnote w:id="55">
    <w:p w14:paraId="123F9369" w14:textId="59BE6574" w:rsidR="005A358C" w:rsidRPr="00610BA0" w:rsidRDefault="005A358C" w:rsidP="00642C9A">
      <w:pPr>
        <w:pStyle w:val="FootnoteText"/>
        <w:ind w:left="284" w:hanging="284"/>
      </w:pPr>
      <w:r w:rsidRPr="00642C9A">
        <w:rPr>
          <w:rStyle w:val="FootnoteReference"/>
        </w:rPr>
        <w:footnoteRef/>
      </w:r>
      <w:r w:rsidRPr="00642C9A">
        <w:t xml:space="preserve"> </w:t>
      </w:r>
      <w:r>
        <w:tab/>
      </w:r>
      <w:r w:rsidRPr="00642C9A">
        <w:t xml:space="preserve">See e.g. Preuss-Lausitz, Ulf (1998). Integration of disabled people between humanity and economy. Financial aspects of special educational </w:t>
      </w:r>
      <w:r>
        <w:t xml:space="preserve">schooling. Internet: </w:t>
      </w:r>
      <w:hyperlink r:id="rId39" w:history="1">
        <w:r w:rsidRPr="00B51074">
          <w:rPr>
            <w:rStyle w:val="Hyperlink"/>
          </w:rPr>
          <w:t>http://bidok.uibk.ac.at/library/preuss_lausitz-weissbuch_oekonomie.html</w:t>
        </w:r>
      </w:hyperlink>
      <w:r>
        <w:t xml:space="preserve"> </w:t>
      </w:r>
      <w:r w:rsidRPr="00642C9A">
        <w:t>(</w:t>
      </w:r>
      <w:r>
        <w:t xml:space="preserve">18 </w:t>
      </w:r>
      <w:r w:rsidRPr="00642C9A">
        <w:t>November 2015)</w:t>
      </w:r>
      <w:r>
        <w:t>.</w:t>
      </w:r>
      <w:r w:rsidRPr="00642C9A">
        <w:t xml:space="preserve"> </w:t>
      </w:r>
    </w:p>
  </w:footnote>
  <w:footnote w:id="56">
    <w:p w14:paraId="1EA4AB8B" w14:textId="52FE2ED6" w:rsidR="005A358C" w:rsidRPr="001A711F" w:rsidRDefault="005A358C" w:rsidP="006464CE">
      <w:pPr>
        <w:pStyle w:val="FootnoteText"/>
        <w:ind w:left="284" w:hanging="284"/>
      </w:pPr>
      <w:r w:rsidRPr="00642C9A">
        <w:rPr>
          <w:rStyle w:val="FootnoteReference"/>
        </w:rPr>
        <w:footnoteRef/>
      </w:r>
      <w:r w:rsidRPr="00642C9A">
        <w:rPr>
          <w:lang w:val="de-DE"/>
        </w:rPr>
        <w:t xml:space="preserve"> </w:t>
      </w:r>
      <w:r>
        <w:rPr>
          <w:lang w:val="de-DE"/>
        </w:rPr>
        <w:tab/>
      </w:r>
      <w:r w:rsidRPr="00642C9A">
        <w:rPr>
          <w:lang w:val="de-DE"/>
        </w:rPr>
        <w:t xml:space="preserve">BMASK. Beschäftigung Österreich 2014-2020. Operationelles Programm. </w:t>
      </w:r>
      <w:r>
        <w:t xml:space="preserve">2015 (in German) </w:t>
      </w:r>
      <w:hyperlink r:id="rId40" w:history="1">
        <w:r w:rsidRPr="001A711F">
          <w:rPr>
            <w:rStyle w:val="Hyperlink"/>
          </w:rPr>
          <w:t>http://www.esf.at/esf/wp-content/uploads/ESF-OP-2014-2020.pdf</w:t>
        </w:r>
      </w:hyperlink>
      <w:r>
        <w:t xml:space="preserve"> </w:t>
      </w:r>
      <w:r w:rsidRPr="001A711F">
        <w:t xml:space="preserve">(25 October 2015). </w:t>
      </w:r>
    </w:p>
  </w:footnote>
  <w:footnote w:id="57">
    <w:p w14:paraId="43CECE1E" w14:textId="496FF7C6" w:rsidR="005A358C" w:rsidRDefault="005A358C" w:rsidP="006464CE">
      <w:pPr>
        <w:pStyle w:val="FootnoteText"/>
        <w:ind w:left="284" w:hanging="284"/>
        <w:rPr>
          <w:lang w:val="de-DE"/>
        </w:rPr>
      </w:pPr>
      <w:r>
        <w:rPr>
          <w:rStyle w:val="FootnoteReference"/>
        </w:rPr>
        <w:footnoteRef/>
      </w:r>
      <w:r w:rsidRPr="00896DD7">
        <w:rPr>
          <w:lang w:val="de-DE"/>
        </w:rPr>
        <w:t xml:space="preserve"> </w:t>
      </w:r>
      <w:r>
        <w:rPr>
          <w:lang w:val="de-DE"/>
        </w:rPr>
        <w:tab/>
        <w:t>Bundeskost (2016). Jugendcoaching 2015. Jahresbericht, 20</w:t>
      </w:r>
    </w:p>
    <w:p w14:paraId="5DA0CB19" w14:textId="5395B4A3" w:rsidR="005A358C" w:rsidRPr="00896DD7" w:rsidRDefault="0075476E" w:rsidP="006464CE">
      <w:pPr>
        <w:pStyle w:val="FootnoteText"/>
        <w:ind w:left="284"/>
        <w:rPr>
          <w:lang w:val="de-DE"/>
        </w:rPr>
      </w:pPr>
      <w:hyperlink r:id="rId41" w:history="1">
        <w:r w:rsidR="005A358C" w:rsidRPr="005A51F4">
          <w:rPr>
            <w:rStyle w:val="Hyperlink"/>
            <w:lang w:val="de-DE"/>
          </w:rPr>
          <w:t>http://www.bundeskost.at/wp-content/uploads/2016/06/jahresbericht-jugendcoaching-2015.pdf</w:t>
        </w:r>
      </w:hyperlink>
      <w:r w:rsidR="005A358C">
        <w:rPr>
          <w:lang w:val="de-DE"/>
        </w:rPr>
        <w:t>.</w:t>
      </w:r>
    </w:p>
  </w:footnote>
  <w:footnote w:id="58">
    <w:p w14:paraId="08F412BE" w14:textId="5EC5CE0C" w:rsidR="005A358C" w:rsidRPr="00CF75AC" w:rsidRDefault="005A358C" w:rsidP="006464CE">
      <w:pPr>
        <w:pStyle w:val="FootnoteText"/>
        <w:ind w:left="284" w:hanging="284"/>
      </w:pPr>
      <w:r>
        <w:rPr>
          <w:rStyle w:val="FootnoteReference"/>
        </w:rPr>
        <w:footnoteRef/>
      </w:r>
      <w:r>
        <w:t xml:space="preserve"> </w:t>
      </w:r>
      <w:r>
        <w:tab/>
        <w:t>T</w:t>
      </w:r>
      <w:r w:rsidRPr="00896DD7">
        <w:t xml:space="preserve">he official website for ESI funds: </w:t>
      </w:r>
      <w:hyperlink r:id="rId42" w:history="1">
        <w:r w:rsidRPr="00BE3FE1">
          <w:rPr>
            <w:rStyle w:val="Hyperlink"/>
          </w:rPr>
          <w:t>http://www.oerok.gv.at/</w:t>
        </w:r>
      </w:hyperlink>
      <w:r>
        <w:t xml:space="preserve"> (8 August 2016).</w:t>
      </w:r>
    </w:p>
  </w:footnote>
  <w:footnote w:id="59">
    <w:p w14:paraId="3EE5584E" w14:textId="1494D79E" w:rsidR="005A358C" w:rsidRPr="002E4853" w:rsidRDefault="005A358C" w:rsidP="006464CE">
      <w:pPr>
        <w:pStyle w:val="FootnoteText"/>
        <w:ind w:left="284" w:hanging="284"/>
      </w:pPr>
      <w:r>
        <w:rPr>
          <w:rStyle w:val="FootnoteReference"/>
        </w:rPr>
        <w:footnoteRef/>
      </w:r>
      <w:r>
        <w:t xml:space="preserve"> </w:t>
      </w:r>
      <w:r>
        <w:tab/>
      </w:r>
      <w:r w:rsidRPr="000D1C8C">
        <w:t xml:space="preserve">See information on Green Care </w:t>
      </w:r>
      <w:r>
        <w:t xml:space="preserve">project for persons with disabilities </w:t>
      </w:r>
      <w:r w:rsidRPr="000D1C8C">
        <w:t>provided by the Federal Ministry for Agriculture and En</w:t>
      </w:r>
      <w:r>
        <w:t>v</w:t>
      </w:r>
      <w:r w:rsidRPr="000D1C8C">
        <w:t>ironment</w:t>
      </w:r>
      <w:r>
        <w:t>:</w:t>
      </w:r>
      <w:r w:rsidRPr="000D1C8C">
        <w:t xml:space="preserve"> </w:t>
      </w:r>
      <w:hyperlink r:id="rId43" w:history="1">
        <w:r w:rsidRPr="007D66AF">
          <w:rPr>
            <w:rStyle w:val="Hyperlink"/>
          </w:rPr>
          <w:t>http://www.greencare-oe.at/content+2500+2433421</w:t>
        </w:r>
      </w:hyperlink>
      <w:r>
        <w:t xml:space="preserve"> (8 August 2016).</w:t>
      </w:r>
    </w:p>
  </w:footnote>
  <w:footnote w:id="60">
    <w:p w14:paraId="7FD215C8" w14:textId="5DF02467" w:rsidR="005A358C" w:rsidRPr="00642C9A" w:rsidRDefault="005A358C" w:rsidP="006464CE">
      <w:pPr>
        <w:pStyle w:val="FootnoteText"/>
        <w:ind w:left="284" w:hanging="284"/>
      </w:pPr>
      <w:r w:rsidRPr="00642C9A">
        <w:rPr>
          <w:rStyle w:val="FootnoteReference"/>
        </w:rPr>
        <w:footnoteRef/>
      </w:r>
      <w:r w:rsidRPr="00642C9A">
        <w:t xml:space="preserve"> </w:t>
      </w:r>
      <w:r>
        <w:tab/>
      </w:r>
      <w:r w:rsidRPr="00642C9A">
        <w:t>Committee on the Rights of Persons with Disabilities (2013). Concluding observations on the initial report of Austria, adopted by the C</w:t>
      </w:r>
      <w:r>
        <w:t xml:space="preserve">ommittee at its tenth session, </w:t>
      </w:r>
      <w:r w:rsidRPr="00642C9A">
        <w:t>2-13 September 2013</w:t>
      </w:r>
      <w:r>
        <w:t xml:space="preserve"> </w:t>
      </w:r>
      <w:hyperlink r:id="rId44" w:history="1">
        <w:r w:rsidRPr="00642C9A">
          <w:rPr>
            <w:rStyle w:val="Hyperlink"/>
          </w:rPr>
          <w:t>http://docstore.ohchr.org/SelfServices/FilesHandler.ashx?enc=6QkG1d%2fPPRiCAqhKb7yhsnzSGolKOaUX8SsM2PfxU7s9lOchc%2bi0vJdc3TEt6JuQH6d6LwuOqunaiCbf0Z0e%2b%2fWMb4CH5VprCrZY%2bNACxgHsOlSRDSP7D6IYsa5kX3eM</w:t>
        </w:r>
      </w:hyperlink>
      <w:r w:rsidRPr="00642C9A">
        <w:t xml:space="preserve"> (</w:t>
      </w:r>
      <w:r>
        <w:t xml:space="preserve">25 </w:t>
      </w:r>
      <w:r w:rsidRPr="00642C9A">
        <w:t xml:space="preserve">October 2015). </w:t>
      </w:r>
    </w:p>
  </w:footnote>
  <w:footnote w:id="61">
    <w:p w14:paraId="3C894F3F" w14:textId="2ED2035C" w:rsidR="005A358C" w:rsidRDefault="005A358C" w:rsidP="006464CE">
      <w:pPr>
        <w:pStyle w:val="FootnoteText"/>
        <w:ind w:left="284" w:hanging="284"/>
        <w:rPr>
          <w:lang w:val="de-DE"/>
        </w:rPr>
      </w:pPr>
      <w:r>
        <w:rPr>
          <w:rStyle w:val="FootnoteReference"/>
        </w:rPr>
        <w:footnoteRef/>
      </w:r>
      <w:r w:rsidRPr="00E332C7">
        <w:rPr>
          <w:lang w:val="de-DE"/>
        </w:rPr>
        <w:t xml:space="preserve"> </w:t>
      </w:r>
      <w:r>
        <w:rPr>
          <w:lang w:val="de-DE"/>
        </w:rPr>
        <w:tab/>
      </w:r>
      <w:r w:rsidRPr="00E332C7">
        <w:rPr>
          <w:lang w:val="de-DE"/>
        </w:rPr>
        <w:t>Volksanwaltschaft (2016). Bericht der Volksanwaltschaft an den National- und Bundesrat 2015.</w:t>
      </w:r>
    </w:p>
    <w:p w14:paraId="69783ECB" w14:textId="162D42A1" w:rsidR="005A358C" w:rsidRPr="00D34A7D" w:rsidRDefault="005A358C" w:rsidP="006464CE">
      <w:pPr>
        <w:pStyle w:val="FootnoteText"/>
        <w:ind w:left="284"/>
        <w:rPr>
          <w:lang w:val="de-DE"/>
        </w:rPr>
      </w:pPr>
      <w:r w:rsidRPr="00E332C7">
        <w:rPr>
          <w:lang w:val="de-DE"/>
        </w:rPr>
        <w:t>Band 2. Nationale Menschenrechtskontrolle, p. 79</w:t>
      </w:r>
      <w:r>
        <w:rPr>
          <w:lang w:val="de-DE"/>
        </w:rPr>
        <w:t xml:space="preserve"> (in German) </w:t>
      </w:r>
      <w:hyperlink r:id="rId45" w:history="1">
        <w:r w:rsidRPr="006464CE">
          <w:rPr>
            <w:rStyle w:val="Hyperlink"/>
            <w:lang w:val="de-DE"/>
          </w:rPr>
          <w:t>http://volksanwaltschaft.gv.at/downloads/8n2qb/PB39pr%C3%A4ventiv.pdf</w:t>
        </w:r>
      </w:hyperlink>
      <w:r w:rsidRPr="00D34A7D">
        <w:rPr>
          <w:lang w:val="de-DE"/>
        </w:rPr>
        <w:t xml:space="preserve"> (8 August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FE29B" w14:textId="5BAFDC2C" w:rsidR="005A358C" w:rsidRDefault="005A358C" w:rsidP="00AF323E">
    <w:r>
      <w:rPr>
        <w:noProof/>
        <w:lang w:val="nl-NL" w:eastAsia="nl-NL"/>
      </w:rPr>
      <mc:AlternateContent>
        <mc:Choice Requires="wps">
          <w:drawing>
            <wp:anchor distT="0" distB="0" distL="114300" distR="114300" simplePos="0" relativeHeight="251659264" behindDoc="0" locked="0" layoutInCell="1" allowOverlap="1" wp14:anchorId="3008F0B0" wp14:editId="22652B5E">
              <wp:simplePos x="0" y="0"/>
              <wp:positionH relativeFrom="column">
                <wp:posOffset>1069975</wp:posOffset>
              </wp:positionH>
              <wp:positionV relativeFrom="paragraph">
                <wp:posOffset>222250</wp:posOffset>
              </wp:positionV>
              <wp:extent cx="4470400" cy="2286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2286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928680A" w14:textId="154F576E" w:rsidR="005A358C" w:rsidRPr="00ED6A68" w:rsidRDefault="005A358C" w:rsidP="00AF323E">
                          <w:pPr>
                            <w:jc w:val="right"/>
                            <w:rPr>
                              <w:sz w:val="16"/>
                              <w:szCs w:val="16"/>
                            </w:rPr>
                          </w:pPr>
                          <w:r>
                            <w:rPr>
                              <w:sz w:val="16"/>
                              <w:lang w:eastAsia="fr-FR"/>
                            </w:rPr>
                            <w:t>European Semester 2016/2017</w:t>
                          </w:r>
                          <w:r w:rsidRPr="00F46384">
                            <w:rPr>
                              <w:sz w:val="16"/>
                              <w:lang w:eastAsia="fr-FR"/>
                            </w:rPr>
                            <w:t xml:space="preserve"> country fiche on disability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8F0B0" id="_x0000_t202" coordsize="21600,21600" o:spt="202" path="m,l,21600r21600,l21600,xe">
              <v:stroke joinstyle="miter"/>
              <v:path gradientshapeok="t" o:connecttype="rect"/>
            </v:shapetype>
            <v:shape id="Text Box 21" o:spid="_x0000_s1026" type="#_x0000_t202" style="position:absolute;margin-left:84.25pt;margin-top:17.5pt;width:35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" filled="f" stroked="f">
              <v:textbox>
                <w:txbxContent>
                  <w:p w14:paraId="5928680A" w14:textId="154F576E" w:rsidR="005A358C" w:rsidRPr="00ED6A68" w:rsidRDefault="005A358C" w:rsidP="00AF323E">
                    <w:pPr>
                      <w:jc w:val="right"/>
                      <w:rPr>
                        <w:sz w:val="16"/>
                        <w:szCs w:val="16"/>
                      </w:rPr>
                    </w:pPr>
                    <w:r>
                      <w:rPr>
                        <w:sz w:val="16"/>
                        <w:lang w:eastAsia="fr-FR"/>
                      </w:rPr>
                      <w:t>European Semester 2016/2017</w:t>
                    </w:r>
                    <w:r w:rsidRPr="00F46384">
                      <w:rPr>
                        <w:sz w:val="16"/>
                        <w:lang w:eastAsia="fr-FR"/>
                      </w:rPr>
                      <w:t xml:space="preserve"> country fiche on disability</w:t>
                    </w:r>
                  </w:p>
                </w:txbxContent>
              </v:textbox>
            </v:shape>
          </w:pict>
        </mc:Fallback>
      </mc:AlternateContent>
    </w:r>
    <w:r>
      <w:rPr>
        <w:noProof/>
        <w:lang w:val="nl-NL" w:eastAsia="nl-NL"/>
      </w:rPr>
      <w:drawing>
        <wp:anchor distT="0" distB="0" distL="114300" distR="114300" simplePos="0" relativeHeight="251657216" behindDoc="1" locked="0" layoutInCell="1" allowOverlap="1" wp14:anchorId="28E16250" wp14:editId="7A15B49F">
          <wp:simplePos x="0" y="0"/>
          <wp:positionH relativeFrom="column">
            <wp:posOffset>5235575</wp:posOffset>
          </wp:positionH>
          <wp:positionV relativeFrom="paragraph">
            <wp:posOffset>-62865</wp:posOffset>
          </wp:positionV>
          <wp:extent cx="509270" cy="509270"/>
          <wp:effectExtent l="0" t="0" r="5080" b="5080"/>
          <wp:wrapThrough wrapText="bothSides">
            <wp:wrapPolygon edited="0">
              <wp:start x="0" y="0"/>
              <wp:lineTo x="0" y="21007"/>
              <wp:lineTo x="21007" y="21007"/>
              <wp:lineTo x="21007"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E765FB"/>
    <w:multiLevelType w:val="hybridMultilevel"/>
    <w:tmpl w:val="C02CC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C6B1FBD"/>
    <w:multiLevelType w:val="hybridMultilevel"/>
    <w:tmpl w:val="DDA465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0497F48"/>
    <w:multiLevelType w:val="hybridMultilevel"/>
    <w:tmpl w:val="FD403FB4"/>
    <w:lvl w:ilvl="0" w:tplc="306A9F12">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BBC31D3"/>
    <w:multiLevelType w:val="hybridMultilevel"/>
    <w:tmpl w:val="ABA67DDE"/>
    <w:lvl w:ilvl="0" w:tplc="EE8C2CE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56165E"/>
    <w:multiLevelType w:val="hybridMultilevel"/>
    <w:tmpl w:val="1FB601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0E11A50"/>
    <w:multiLevelType w:val="hybridMultilevel"/>
    <w:tmpl w:val="277AC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1756CC"/>
    <w:multiLevelType w:val="hybridMultilevel"/>
    <w:tmpl w:val="E32E16E8"/>
    <w:lvl w:ilvl="0" w:tplc="67C8D12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4F2A3C"/>
    <w:multiLevelType w:val="hybridMultilevel"/>
    <w:tmpl w:val="ED0C8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8BB4932"/>
    <w:multiLevelType w:val="hybridMultilevel"/>
    <w:tmpl w:val="CD54B96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F3F3DD8"/>
    <w:multiLevelType w:val="hybridMultilevel"/>
    <w:tmpl w:val="6ECCF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F841B29"/>
    <w:multiLevelType w:val="hybridMultilevel"/>
    <w:tmpl w:val="609CA2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1082CA3"/>
    <w:multiLevelType w:val="hybridMultilevel"/>
    <w:tmpl w:val="E1843A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B915AAF"/>
    <w:multiLevelType w:val="hybridMultilevel"/>
    <w:tmpl w:val="4AA40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1A4619"/>
    <w:multiLevelType w:val="multilevel"/>
    <w:tmpl w:val="E81E4E2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3ECC6431"/>
    <w:multiLevelType w:val="hybridMultilevel"/>
    <w:tmpl w:val="E5CC4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3236441"/>
    <w:multiLevelType w:val="hybridMultilevel"/>
    <w:tmpl w:val="C138F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C2349D"/>
    <w:multiLevelType w:val="hybridMultilevel"/>
    <w:tmpl w:val="1F4E4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DD38C5"/>
    <w:multiLevelType w:val="hybridMultilevel"/>
    <w:tmpl w:val="2F202AEC"/>
    <w:lvl w:ilvl="0" w:tplc="16F658C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32250A"/>
    <w:multiLevelType w:val="hybridMultilevel"/>
    <w:tmpl w:val="D7D6AD3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CCE0B94"/>
    <w:multiLevelType w:val="multilevel"/>
    <w:tmpl w:val="12E42466"/>
    <w:numStyleLink w:val="Style1"/>
  </w:abstractNum>
  <w:abstractNum w:abstractNumId="30" w15:restartNumberingAfterBreak="0">
    <w:nsid w:val="63D22CD3"/>
    <w:multiLevelType w:val="hybridMultilevel"/>
    <w:tmpl w:val="DE0C1D6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7D76C56"/>
    <w:multiLevelType w:val="hybridMultilevel"/>
    <w:tmpl w:val="11727E4E"/>
    <w:lvl w:ilvl="0" w:tplc="89A278A0">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7F31828"/>
    <w:multiLevelType w:val="hybridMultilevel"/>
    <w:tmpl w:val="93AE22D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5BE5A8E"/>
    <w:multiLevelType w:val="multilevel"/>
    <w:tmpl w:val="12E42466"/>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7BD56829"/>
    <w:multiLevelType w:val="multilevel"/>
    <w:tmpl w:val="AE06A07C"/>
    <w:lvl w:ilvl="0">
      <w:start w:val="1"/>
      <w:numFmt w:val="decimal"/>
      <w:lvlText w:val="%1"/>
      <w:lvlJc w:val="left"/>
      <w:pPr>
        <w:ind w:left="432" w:hanging="432"/>
      </w:pPr>
    </w:lvl>
    <w:lvl w:ilvl="1">
      <w:start w:val="1"/>
      <w:numFmt w:val="decimal"/>
      <w:lvlText w:val="%1.%2"/>
      <w:lvlJc w:val="left"/>
      <w:pPr>
        <w:ind w:left="860"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BD73905"/>
    <w:multiLevelType w:val="hybridMultilevel"/>
    <w:tmpl w:val="04941DB4"/>
    <w:lvl w:ilvl="0" w:tplc="08090001">
      <w:start w:val="1"/>
      <w:numFmt w:val="bullet"/>
      <w:lvlText w:val=""/>
      <w:lvlJc w:val="left"/>
      <w:pPr>
        <w:tabs>
          <w:tab w:val="num" w:pos="360"/>
        </w:tabs>
        <w:ind w:left="360" w:hanging="360"/>
      </w:pPr>
      <w:rPr>
        <w:rFonts w:ascii="Symbol" w:hAnsi="Symbol" w:hint="default"/>
      </w:rPr>
    </w:lvl>
    <w:lvl w:ilvl="1" w:tplc="0C742E8A">
      <w:start w:val="1"/>
      <w:numFmt w:val="bullet"/>
      <w:lvlText w:val="-"/>
      <w:lvlJc w:val="left"/>
      <w:pPr>
        <w:tabs>
          <w:tab w:val="num" w:pos="1080"/>
        </w:tabs>
        <w:ind w:left="1080" w:hanging="360"/>
      </w:pPr>
      <w:rPr>
        <w:rFonts w:ascii="Tahoma" w:eastAsia="Times New Roman" w:hAnsi="Tahoma"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33"/>
  </w:num>
  <w:num w:numId="13">
    <w:abstractNumId w:val="26"/>
  </w:num>
  <w:num w:numId="14">
    <w:abstractNumId w:val="35"/>
  </w:num>
  <w:num w:numId="15">
    <w:abstractNumId w:val="10"/>
  </w:num>
  <w:num w:numId="16">
    <w:abstractNumId w:val="15"/>
  </w:num>
  <w:num w:numId="17">
    <w:abstractNumId w:val="22"/>
  </w:num>
  <w:num w:numId="18">
    <w:abstractNumId w:val="17"/>
  </w:num>
  <w:num w:numId="19">
    <w:abstractNumId w:val="24"/>
  </w:num>
  <w:num w:numId="20">
    <w:abstractNumId w:val="23"/>
  </w:num>
  <w:num w:numId="21">
    <w:abstractNumId w:val="16"/>
  </w:num>
  <w:num w:numId="22">
    <w:abstractNumId w:val="27"/>
  </w:num>
  <w:num w:numId="23">
    <w:abstractNumId w:val="13"/>
  </w:num>
  <w:num w:numId="24">
    <w:abstractNumId w:val="25"/>
  </w:num>
  <w:num w:numId="25">
    <w:abstractNumId w:val="20"/>
  </w:num>
  <w:num w:numId="26">
    <w:abstractNumId w:val="14"/>
  </w:num>
  <w:num w:numId="27">
    <w:abstractNumId w:val="34"/>
  </w:num>
  <w:num w:numId="28">
    <w:abstractNumId w:val="31"/>
  </w:num>
  <w:num w:numId="29">
    <w:abstractNumId w:val="12"/>
  </w:num>
  <w:num w:numId="30">
    <w:abstractNumId w:val="19"/>
  </w:num>
  <w:num w:numId="31">
    <w:abstractNumId w:val="21"/>
  </w:num>
  <w:num w:numId="32">
    <w:abstractNumId w:val="28"/>
  </w:num>
  <w:num w:numId="33">
    <w:abstractNumId w:val="18"/>
  </w:num>
  <w:num w:numId="34">
    <w:abstractNumId w:val="32"/>
  </w:num>
  <w:num w:numId="35">
    <w:abstractNumId w:val="11"/>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101"/>
    <w:rsid w:val="00000CE8"/>
    <w:rsid w:val="000012E9"/>
    <w:rsid w:val="000014F4"/>
    <w:rsid w:val="0000171F"/>
    <w:rsid w:val="00002E12"/>
    <w:rsid w:val="00005212"/>
    <w:rsid w:val="00006E1F"/>
    <w:rsid w:val="0001019B"/>
    <w:rsid w:val="00010432"/>
    <w:rsid w:val="00012492"/>
    <w:rsid w:val="0001374E"/>
    <w:rsid w:val="00013E50"/>
    <w:rsid w:val="00014012"/>
    <w:rsid w:val="000159A6"/>
    <w:rsid w:val="00020CAA"/>
    <w:rsid w:val="00021E49"/>
    <w:rsid w:val="00022398"/>
    <w:rsid w:val="00022EFF"/>
    <w:rsid w:val="0002330B"/>
    <w:rsid w:val="000250B6"/>
    <w:rsid w:val="00025A3F"/>
    <w:rsid w:val="00025BDD"/>
    <w:rsid w:val="00025FE2"/>
    <w:rsid w:val="00030D37"/>
    <w:rsid w:val="00031B19"/>
    <w:rsid w:val="00032FAA"/>
    <w:rsid w:val="000336BD"/>
    <w:rsid w:val="000354B1"/>
    <w:rsid w:val="00035640"/>
    <w:rsid w:val="00040141"/>
    <w:rsid w:val="00041394"/>
    <w:rsid w:val="0004167C"/>
    <w:rsid w:val="0004313F"/>
    <w:rsid w:val="000437F3"/>
    <w:rsid w:val="00043861"/>
    <w:rsid w:val="00044198"/>
    <w:rsid w:val="0004426B"/>
    <w:rsid w:val="0004486B"/>
    <w:rsid w:val="00044E73"/>
    <w:rsid w:val="000458CE"/>
    <w:rsid w:val="000501FA"/>
    <w:rsid w:val="0005026D"/>
    <w:rsid w:val="00050B4A"/>
    <w:rsid w:val="000512BE"/>
    <w:rsid w:val="000526B8"/>
    <w:rsid w:val="00053E63"/>
    <w:rsid w:val="0005498D"/>
    <w:rsid w:val="00056BF0"/>
    <w:rsid w:val="00057AA4"/>
    <w:rsid w:val="00061AD6"/>
    <w:rsid w:val="00062BDC"/>
    <w:rsid w:val="00063647"/>
    <w:rsid w:val="000637CF"/>
    <w:rsid w:val="000638A2"/>
    <w:rsid w:val="00066274"/>
    <w:rsid w:val="00066A6E"/>
    <w:rsid w:val="000704E7"/>
    <w:rsid w:val="000707CF"/>
    <w:rsid w:val="00070CBE"/>
    <w:rsid w:val="0007647A"/>
    <w:rsid w:val="000764D5"/>
    <w:rsid w:val="0007660B"/>
    <w:rsid w:val="00077384"/>
    <w:rsid w:val="00077A87"/>
    <w:rsid w:val="00080203"/>
    <w:rsid w:val="000802F4"/>
    <w:rsid w:val="00082A55"/>
    <w:rsid w:val="00082E6D"/>
    <w:rsid w:val="00083316"/>
    <w:rsid w:val="00083917"/>
    <w:rsid w:val="00084AB1"/>
    <w:rsid w:val="00084D27"/>
    <w:rsid w:val="00086D53"/>
    <w:rsid w:val="00086F33"/>
    <w:rsid w:val="00090D97"/>
    <w:rsid w:val="000921C2"/>
    <w:rsid w:val="0009265B"/>
    <w:rsid w:val="00092965"/>
    <w:rsid w:val="00092B8F"/>
    <w:rsid w:val="00094EF9"/>
    <w:rsid w:val="00096871"/>
    <w:rsid w:val="000968F0"/>
    <w:rsid w:val="000969A6"/>
    <w:rsid w:val="00097B9F"/>
    <w:rsid w:val="00097BEE"/>
    <w:rsid w:val="000A1BAE"/>
    <w:rsid w:val="000A1BC6"/>
    <w:rsid w:val="000A2913"/>
    <w:rsid w:val="000A34E6"/>
    <w:rsid w:val="000A395C"/>
    <w:rsid w:val="000A3B57"/>
    <w:rsid w:val="000A5594"/>
    <w:rsid w:val="000A7CB1"/>
    <w:rsid w:val="000B2163"/>
    <w:rsid w:val="000B2577"/>
    <w:rsid w:val="000B4227"/>
    <w:rsid w:val="000B4DF2"/>
    <w:rsid w:val="000C02B7"/>
    <w:rsid w:val="000C0825"/>
    <w:rsid w:val="000C158E"/>
    <w:rsid w:val="000C166A"/>
    <w:rsid w:val="000C339A"/>
    <w:rsid w:val="000C41B7"/>
    <w:rsid w:val="000C4E75"/>
    <w:rsid w:val="000C5733"/>
    <w:rsid w:val="000C6C4B"/>
    <w:rsid w:val="000C7D4E"/>
    <w:rsid w:val="000D026D"/>
    <w:rsid w:val="000D13A0"/>
    <w:rsid w:val="000D1C8C"/>
    <w:rsid w:val="000D2600"/>
    <w:rsid w:val="000D2A34"/>
    <w:rsid w:val="000D320A"/>
    <w:rsid w:val="000D34AF"/>
    <w:rsid w:val="000D3F10"/>
    <w:rsid w:val="000D426E"/>
    <w:rsid w:val="000D42FA"/>
    <w:rsid w:val="000D479C"/>
    <w:rsid w:val="000D4E12"/>
    <w:rsid w:val="000D59F2"/>
    <w:rsid w:val="000D61A2"/>
    <w:rsid w:val="000E016C"/>
    <w:rsid w:val="000E068F"/>
    <w:rsid w:val="000E153F"/>
    <w:rsid w:val="000E1717"/>
    <w:rsid w:val="000E1D50"/>
    <w:rsid w:val="000E1F8B"/>
    <w:rsid w:val="000E4E89"/>
    <w:rsid w:val="000E59E4"/>
    <w:rsid w:val="000E7982"/>
    <w:rsid w:val="000F10AE"/>
    <w:rsid w:val="000F1FE1"/>
    <w:rsid w:val="000F26F1"/>
    <w:rsid w:val="000F28CA"/>
    <w:rsid w:val="000F335E"/>
    <w:rsid w:val="000F610B"/>
    <w:rsid w:val="000F657B"/>
    <w:rsid w:val="000F6E1E"/>
    <w:rsid w:val="000F71A7"/>
    <w:rsid w:val="000F7B82"/>
    <w:rsid w:val="0010080E"/>
    <w:rsid w:val="00100CCC"/>
    <w:rsid w:val="00100F6B"/>
    <w:rsid w:val="001010AB"/>
    <w:rsid w:val="001013A7"/>
    <w:rsid w:val="00103E28"/>
    <w:rsid w:val="0010423F"/>
    <w:rsid w:val="00104EA8"/>
    <w:rsid w:val="00106687"/>
    <w:rsid w:val="00107EFC"/>
    <w:rsid w:val="00107FBD"/>
    <w:rsid w:val="00110298"/>
    <w:rsid w:val="00111BDD"/>
    <w:rsid w:val="00111DC3"/>
    <w:rsid w:val="00111FF9"/>
    <w:rsid w:val="00113AAD"/>
    <w:rsid w:val="001146D4"/>
    <w:rsid w:val="00115C02"/>
    <w:rsid w:val="0011673C"/>
    <w:rsid w:val="00116F4C"/>
    <w:rsid w:val="00117547"/>
    <w:rsid w:val="00117606"/>
    <w:rsid w:val="0012132F"/>
    <w:rsid w:val="00121963"/>
    <w:rsid w:val="001225A7"/>
    <w:rsid w:val="00123936"/>
    <w:rsid w:val="00124B63"/>
    <w:rsid w:val="00124EF1"/>
    <w:rsid w:val="00125361"/>
    <w:rsid w:val="001264BB"/>
    <w:rsid w:val="0012764F"/>
    <w:rsid w:val="00130077"/>
    <w:rsid w:val="00130E4D"/>
    <w:rsid w:val="00131053"/>
    <w:rsid w:val="0013277C"/>
    <w:rsid w:val="00132E74"/>
    <w:rsid w:val="001332A0"/>
    <w:rsid w:val="001335A3"/>
    <w:rsid w:val="00133B03"/>
    <w:rsid w:val="001341CA"/>
    <w:rsid w:val="00134A09"/>
    <w:rsid w:val="00134FD3"/>
    <w:rsid w:val="00140B55"/>
    <w:rsid w:val="00141174"/>
    <w:rsid w:val="0014167E"/>
    <w:rsid w:val="001431E9"/>
    <w:rsid w:val="00144B3F"/>
    <w:rsid w:val="00144B50"/>
    <w:rsid w:val="00144E3C"/>
    <w:rsid w:val="00146287"/>
    <w:rsid w:val="00146B02"/>
    <w:rsid w:val="00147D26"/>
    <w:rsid w:val="00150D45"/>
    <w:rsid w:val="00150FD2"/>
    <w:rsid w:val="001522D4"/>
    <w:rsid w:val="0015251C"/>
    <w:rsid w:val="00152861"/>
    <w:rsid w:val="0015297B"/>
    <w:rsid w:val="00152FE0"/>
    <w:rsid w:val="00155898"/>
    <w:rsid w:val="001601AB"/>
    <w:rsid w:val="001601DE"/>
    <w:rsid w:val="001602BF"/>
    <w:rsid w:val="00160CA5"/>
    <w:rsid w:val="0016183B"/>
    <w:rsid w:val="00161D1E"/>
    <w:rsid w:val="00162EFE"/>
    <w:rsid w:val="00164B9E"/>
    <w:rsid w:val="00164DCB"/>
    <w:rsid w:val="00165FF0"/>
    <w:rsid w:val="00167B35"/>
    <w:rsid w:val="00167C77"/>
    <w:rsid w:val="00171A34"/>
    <w:rsid w:val="001728AD"/>
    <w:rsid w:val="00172D15"/>
    <w:rsid w:val="00172F55"/>
    <w:rsid w:val="00175474"/>
    <w:rsid w:val="001756B5"/>
    <w:rsid w:val="00177379"/>
    <w:rsid w:val="00177613"/>
    <w:rsid w:val="00177CF1"/>
    <w:rsid w:val="001827FE"/>
    <w:rsid w:val="001828CD"/>
    <w:rsid w:val="00183BDA"/>
    <w:rsid w:val="00184494"/>
    <w:rsid w:val="00184BA5"/>
    <w:rsid w:val="0018518A"/>
    <w:rsid w:val="00185783"/>
    <w:rsid w:val="001857BE"/>
    <w:rsid w:val="001860DF"/>
    <w:rsid w:val="00186386"/>
    <w:rsid w:val="00187A97"/>
    <w:rsid w:val="001904DB"/>
    <w:rsid w:val="00192478"/>
    <w:rsid w:val="00193206"/>
    <w:rsid w:val="00195249"/>
    <w:rsid w:val="0019537F"/>
    <w:rsid w:val="00195ADA"/>
    <w:rsid w:val="00196975"/>
    <w:rsid w:val="00196BE6"/>
    <w:rsid w:val="00196F5B"/>
    <w:rsid w:val="001974CF"/>
    <w:rsid w:val="00197BE5"/>
    <w:rsid w:val="001A0FD8"/>
    <w:rsid w:val="001A177E"/>
    <w:rsid w:val="001A1E91"/>
    <w:rsid w:val="001A2DE7"/>
    <w:rsid w:val="001A2FB7"/>
    <w:rsid w:val="001A3CB0"/>
    <w:rsid w:val="001A459B"/>
    <w:rsid w:val="001A5E93"/>
    <w:rsid w:val="001A6230"/>
    <w:rsid w:val="001A651F"/>
    <w:rsid w:val="001A689E"/>
    <w:rsid w:val="001A6923"/>
    <w:rsid w:val="001A711F"/>
    <w:rsid w:val="001A783D"/>
    <w:rsid w:val="001A7E77"/>
    <w:rsid w:val="001B0793"/>
    <w:rsid w:val="001B1230"/>
    <w:rsid w:val="001B13C3"/>
    <w:rsid w:val="001B404F"/>
    <w:rsid w:val="001B48FD"/>
    <w:rsid w:val="001B4FEC"/>
    <w:rsid w:val="001B57D2"/>
    <w:rsid w:val="001B5ECE"/>
    <w:rsid w:val="001B6760"/>
    <w:rsid w:val="001C0743"/>
    <w:rsid w:val="001C0C55"/>
    <w:rsid w:val="001C0F8E"/>
    <w:rsid w:val="001C11FC"/>
    <w:rsid w:val="001C136A"/>
    <w:rsid w:val="001C1CD4"/>
    <w:rsid w:val="001C2F45"/>
    <w:rsid w:val="001C6CD5"/>
    <w:rsid w:val="001C6E1C"/>
    <w:rsid w:val="001D038C"/>
    <w:rsid w:val="001D07E0"/>
    <w:rsid w:val="001D096A"/>
    <w:rsid w:val="001D0E60"/>
    <w:rsid w:val="001D1CE2"/>
    <w:rsid w:val="001D2285"/>
    <w:rsid w:val="001D2AA2"/>
    <w:rsid w:val="001D3B52"/>
    <w:rsid w:val="001D5BEE"/>
    <w:rsid w:val="001D7240"/>
    <w:rsid w:val="001E0354"/>
    <w:rsid w:val="001E1C6F"/>
    <w:rsid w:val="001E2E9B"/>
    <w:rsid w:val="001E3496"/>
    <w:rsid w:val="001E4166"/>
    <w:rsid w:val="001E62A0"/>
    <w:rsid w:val="001E62A9"/>
    <w:rsid w:val="001E6586"/>
    <w:rsid w:val="001F0105"/>
    <w:rsid w:val="001F039B"/>
    <w:rsid w:val="001F0D3E"/>
    <w:rsid w:val="001F0F49"/>
    <w:rsid w:val="001F35AC"/>
    <w:rsid w:val="001F37E6"/>
    <w:rsid w:val="001F5F7C"/>
    <w:rsid w:val="001F612A"/>
    <w:rsid w:val="001F6B23"/>
    <w:rsid w:val="001F6CDE"/>
    <w:rsid w:val="001F7879"/>
    <w:rsid w:val="001F7F3C"/>
    <w:rsid w:val="001F7FFE"/>
    <w:rsid w:val="0020165F"/>
    <w:rsid w:val="0020201F"/>
    <w:rsid w:val="0020431E"/>
    <w:rsid w:val="00204AB4"/>
    <w:rsid w:val="0020658D"/>
    <w:rsid w:val="00206A9B"/>
    <w:rsid w:val="00206BED"/>
    <w:rsid w:val="00207204"/>
    <w:rsid w:val="0021029A"/>
    <w:rsid w:val="00210675"/>
    <w:rsid w:val="00210A63"/>
    <w:rsid w:val="00214AEC"/>
    <w:rsid w:val="00214D63"/>
    <w:rsid w:val="002167ED"/>
    <w:rsid w:val="00220A25"/>
    <w:rsid w:val="00222716"/>
    <w:rsid w:val="002232E7"/>
    <w:rsid w:val="00225263"/>
    <w:rsid w:val="00225ADD"/>
    <w:rsid w:val="002266AC"/>
    <w:rsid w:val="0023286F"/>
    <w:rsid w:val="00233B93"/>
    <w:rsid w:val="00233C7B"/>
    <w:rsid w:val="00233EF8"/>
    <w:rsid w:val="00235D7A"/>
    <w:rsid w:val="00241D49"/>
    <w:rsid w:val="00242311"/>
    <w:rsid w:val="00242353"/>
    <w:rsid w:val="00243C02"/>
    <w:rsid w:val="00243F84"/>
    <w:rsid w:val="002446DA"/>
    <w:rsid w:val="002457EC"/>
    <w:rsid w:val="00245BCD"/>
    <w:rsid w:val="00245E39"/>
    <w:rsid w:val="00247433"/>
    <w:rsid w:val="00250BDF"/>
    <w:rsid w:val="00251317"/>
    <w:rsid w:val="00251741"/>
    <w:rsid w:val="00251CAC"/>
    <w:rsid w:val="00251E38"/>
    <w:rsid w:val="0025203A"/>
    <w:rsid w:val="00255635"/>
    <w:rsid w:val="00257682"/>
    <w:rsid w:val="00257734"/>
    <w:rsid w:val="0026083E"/>
    <w:rsid w:val="00261734"/>
    <w:rsid w:val="00262470"/>
    <w:rsid w:val="002630EA"/>
    <w:rsid w:val="00263E33"/>
    <w:rsid w:val="0026402A"/>
    <w:rsid w:val="002664F1"/>
    <w:rsid w:val="00270603"/>
    <w:rsid w:val="002723EC"/>
    <w:rsid w:val="00273123"/>
    <w:rsid w:val="00273241"/>
    <w:rsid w:val="00273ED7"/>
    <w:rsid w:val="00273F82"/>
    <w:rsid w:val="00274520"/>
    <w:rsid w:val="00274D03"/>
    <w:rsid w:val="002750BE"/>
    <w:rsid w:val="002754A2"/>
    <w:rsid w:val="00276841"/>
    <w:rsid w:val="00276A65"/>
    <w:rsid w:val="00276B60"/>
    <w:rsid w:val="002806B2"/>
    <w:rsid w:val="002806EF"/>
    <w:rsid w:val="00282264"/>
    <w:rsid w:val="0028277B"/>
    <w:rsid w:val="00283A14"/>
    <w:rsid w:val="0028430D"/>
    <w:rsid w:val="0028479E"/>
    <w:rsid w:val="00286275"/>
    <w:rsid w:val="0028748F"/>
    <w:rsid w:val="0029054F"/>
    <w:rsid w:val="00290C45"/>
    <w:rsid w:val="002928A6"/>
    <w:rsid w:val="00294A2B"/>
    <w:rsid w:val="0029604C"/>
    <w:rsid w:val="002A0804"/>
    <w:rsid w:val="002A1521"/>
    <w:rsid w:val="002A237B"/>
    <w:rsid w:val="002A35FD"/>
    <w:rsid w:val="002A36FA"/>
    <w:rsid w:val="002A3A3C"/>
    <w:rsid w:val="002A3BEA"/>
    <w:rsid w:val="002A3DBC"/>
    <w:rsid w:val="002A524F"/>
    <w:rsid w:val="002A52B5"/>
    <w:rsid w:val="002A5BC2"/>
    <w:rsid w:val="002A610A"/>
    <w:rsid w:val="002A6F1E"/>
    <w:rsid w:val="002A7537"/>
    <w:rsid w:val="002A7F69"/>
    <w:rsid w:val="002B12F0"/>
    <w:rsid w:val="002B2191"/>
    <w:rsid w:val="002B4C0A"/>
    <w:rsid w:val="002B5B12"/>
    <w:rsid w:val="002B5F2C"/>
    <w:rsid w:val="002B7340"/>
    <w:rsid w:val="002B7429"/>
    <w:rsid w:val="002B7723"/>
    <w:rsid w:val="002C13B7"/>
    <w:rsid w:val="002C14A4"/>
    <w:rsid w:val="002C1CCE"/>
    <w:rsid w:val="002C1D7D"/>
    <w:rsid w:val="002C2798"/>
    <w:rsid w:val="002C2AF0"/>
    <w:rsid w:val="002C47C2"/>
    <w:rsid w:val="002C65AE"/>
    <w:rsid w:val="002C6AA9"/>
    <w:rsid w:val="002C72A4"/>
    <w:rsid w:val="002C7D2A"/>
    <w:rsid w:val="002D19F2"/>
    <w:rsid w:val="002D1F1D"/>
    <w:rsid w:val="002D4373"/>
    <w:rsid w:val="002D5054"/>
    <w:rsid w:val="002D55AB"/>
    <w:rsid w:val="002D76D4"/>
    <w:rsid w:val="002E1F4E"/>
    <w:rsid w:val="002E269E"/>
    <w:rsid w:val="002E2747"/>
    <w:rsid w:val="002E2C20"/>
    <w:rsid w:val="002E2F78"/>
    <w:rsid w:val="002E34E9"/>
    <w:rsid w:val="002E3AAD"/>
    <w:rsid w:val="002E420B"/>
    <w:rsid w:val="002E4853"/>
    <w:rsid w:val="002E4CB9"/>
    <w:rsid w:val="002F1773"/>
    <w:rsid w:val="002F1FC0"/>
    <w:rsid w:val="002F2213"/>
    <w:rsid w:val="002F2226"/>
    <w:rsid w:val="002F2EC2"/>
    <w:rsid w:val="002F43BE"/>
    <w:rsid w:val="002F47D6"/>
    <w:rsid w:val="002F4F3B"/>
    <w:rsid w:val="002F527F"/>
    <w:rsid w:val="00300762"/>
    <w:rsid w:val="003018A7"/>
    <w:rsid w:val="00301D2B"/>
    <w:rsid w:val="00302077"/>
    <w:rsid w:val="003022E7"/>
    <w:rsid w:val="0030273E"/>
    <w:rsid w:val="003027DF"/>
    <w:rsid w:val="00302832"/>
    <w:rsid w:val="00303A64"/>
    <w:rsid w:val="00303FAC"/>
    <w:rsid w:val="003040C9"/>
    <w:rsid w:val="0030432A"/>
    <w:rsid w:val="00305F06"/>
    <w:rsid w:val="00306BCE"/>
    <w:rsid w:val="00307404"/>
    <w:rsid w:val="00307954"/>
    <w:rsid w:val="00311AE5"/>
    <w:rsid w:val="003124A0"/>
    <w:rsid w:val="00312E5F"/>
    <w:rsid w:val="0031313A"/>
    <w:rsid w:val="00313B8D"/>
    <w:rsid w:val="00314737"/>
    <w:rsid w:val="003152AB"/>
    <w:rsid w:val="003168D3"/>
    <w:rsid w:val="00317560"/>
    <w:rsid w:val="00322077"/>
    <w:rsid w:val="00323AA1"/>
    <w:rsid w:val="003253E0"/>
    <w:rsid w:val="00326859"/>
    <w:rsid w:val="00327ED8"/>
    <w:rsid w:val="00330467"/>
    <w:rsid w:val="003305EA"/>
    <w:rsid w:val="0033067A"/>
    <w:rsid w:val="0033172F"/>
    <w:rsid w:val="00333984"/>
    <w:rsid w:val="00333BC9"/>
    <w:rsid w:val="00334976"/>
    <w:rsid w:val="00336386"/>
    <w:rsid w:val="00336C4C"/>
    <w:rsid w:val="00336F5D"/>
    <w:rsid w:val="00337987"/>
    <w:rsid w:val="003400F1"/>
    <w:rsid w:val="003406A7"/>
    <w:rsid w:val="00342409"/>
    <w:rsid w:val="00342A37"/>
    <w:rsid w:val="0034383C"/>
    <w:rsid w:val="00344521"/>
    <w:rsid w:val="00345FB2"/>
    <w:rsid w:val="00346FC5"/>
    <w:rsid w:val="00350404"/>
    <w:rsid w:val="0035075F"/>
    <w:rsid w:val="003510E3"/>
    <w:rsid w:val="00354451"/>
    <w:rsid w:val="003545B7"/>
    <w:rsid w:val="003548E8"/>
    <w:rsid w:val="003555F1"/>
    <w:rsid w:val="003600A4"/>
    <w:rsid w:val="00364F0F"/>
    <w:rsid w:val="00365193"/>
    <w:rsid w:val="00365EBE"/>
    <w:rsid w:val="00367337"/>
    <w:rsid w:val="00367519"/>
    <w:rsid w:val="0036765F"/>
    <w:rsid w:val="00367E36"/>
    <w:rsid w:val="003702B0"/>
    <w:rsid w:val="0037054D"/>
    <w:rsid w:val="00370A08"/>
    <w:rsid w:val="00371B3C"/>
    <w:rsid w:val="00371C4C"/>
    <w:rsid w:val="00371F45"/>
    <w:rsid w:val="003725AF"/>
    <w:rsid w:val="00372917"/>
    <w:rsid w:val="003732DA"/>
    <w:rsid w:val="00373425"/>
    <w:rsid w:val="00374A48"/>
    <w:rsid w:val="00375373"/>
    <w:rsid w:val="00376CBE"/>
    <w:rsid w:val="00376FF0"/>
    <w:rsid w:val="0037740A"/>
    <w:rsid w:val="00377BC5"/>
    <w:rsid w:val="00377F68"/>
    <w:rsid w:val="003810D8"/>
    <w:rsid w:val="0038194A"/>
    <w:rsid w:val="00381B30"/>
    <w:rsid w:val="00383091"/>
    <w:rsid w:val="003837D3"/>
    <w:rsid w:val="00384937"/>
    <w:rsid w:val="00384EB9"/>
    <w:rsid w:val="0038534B"/>
    <w:rsid w:val="00385532"/>
    <w:rsid w:val="003870B3"/>
    <w:rsid w:val="003873B6"/>
    <w:rsid w:val="00387BBF"/>
    <w:rsid w:val="00390378"/>
    <w:rsid w:val="00390417"/>
    <w:rsid w:val="0039078A"/>
    <w:rsid w:val="0039180D"/>
    <w:rsid w:val="00391AC2"/>
    <w:rsid w:val="00392011"/>
    <w:rsid w:val="00392515"/>
    <w:rsid w:val="003933B4"/>
    <w:rsid w:val="003933BD"/>
    <w:rsid w:val="003936AE"/>
    <w:rsid w:val="00393DD9"/>
    <w:rsid w:val="00393E87"/>
    <w:rsid w:val="0039424A"/>
    <w:rsid w:val="0039747C"/>
    <w:rsid w:val="003A15FF"/>
    <w:rsid w:val="003A2203"/>
    <w:rsid w:val="003A2412"/>
    <w:rsid w:val="003A26EF"/>
    <w:rsid w:val="003A2822"/>
    <w:rsid w:val="003A4650"/>
    <w:rsid w:val="003A4B33"/>
    <w:rsid w:val="003A4C83"/>
    <w:rsid w:val="003B037B"/>
    <w:rsid w:val="003B1107"/>
    <w:rsid w:val="003B3D1A"/>
    <w:rsid w:val="003B422F"/>
    <w:rsid w:val="003B4ADB"/>
    <w:rsid w:val="003B62D0"/>
    <w:rsid w:val="003B75F8"/>
    <w:rsid w:val="003C075F"/>
    <w:rsid w:val="003C1455"/>
    <w:rsid w:val="003C2C2E"/>
    <w:rsid w:val="003C4283"/>
    <w:rsid w:val="003C49FE"/>
    <w:rsid w:val="003C4E29"/>
    <w:rsid w:val="003C7D57"/>
    <w:rsid w:val="003D0177"/>
    <w:rsid w:val="003D017A"/>
    <w:rsid w:val="003D0324"/>
    <w:rsid w:val="003D356C"/>
    <w:rsid w:val="003D3FAC"/>
    <w:rsid w:val="003D7AB4"/>
    <w:rsid w:val="003E1214"/>
    <w:rsid w:val="003E1601"/>
    <w:rsid w:val="003E2022"/>
    <w:rsid w:val="003E2E6B"/>
    <w:rsid w:val="003E5836"/>
    <w:rsid w:val="003E592A"/>
    <w:rsid w:val="003E6273"/>
    <w:rsid w:val="003E63AE"/>
    <w:rsid w:val="003E7EC1"/>
    <w:rsid w:val="003F04E1"/>
    <w:rsid w:val="003F0847"/>
    <w:rsid w:val="003F0E63"/>
    <w:rsid w:val="003F0F72"/>
    <w:rsid w:val="003F195C"/>
    <w:rsid w:val="003F1E65"/>
    <w:rsid w:val="003F2A26"/>
    <w:rsid w:val="003F3157"/>
    <w:rsid w:val="003F356B"/>
    <w:rsid w:val="003F4379"/>
    <w:rsid w:val="003F52D8"/>
    <w:rsid w:val="003F5598"/>
    <w:rsid w:val="003F5A81"/>
    <w:rsid w:val="003F5C99"/>
    <w:rsid w:val="003F6896"/>
    <w:rsid w:val="003F6CFF"/>
    <w:rsid w:val="004020FF"/>
    <w:rsid w:val="004022FB"/>
    <w:rsid w:val="00403130"/>
    <w:rsid w:val="004037E9"/>
    <w:rsid w:val="0040430B"/>
    <w:rsid w:val="00406A97"/>
    <w:rsid w:val="0040713F"/>
    <w:rsid w:val="00407208"/>
    <w:rsid w:val="004110A3"/>
    <w:rsid w:val="00412326"/>
    <w:rsid w:val="004124AF"/>
    <w:rsid w:val="004126C2"/>
    <w:rsid w:val="00413963"/>
    <w:rsid w:val="004140E9"/>
    <w:rsid w:val="0041421D"/>
    <w:rsid w:val="00415058"/>
    <w:rsid w:val="00416060"/>
    <w:rsid w:val="00416549"/>
    <w:rsid w:val="00416AA0"/>
    <w:rsid w:val="00416CD4"/>
    <w:rsid w:val="004175BF"/>
    <w:rsid w:val="00420106"/>
    <w:rsid w:val="004211D8"/>
    <w:rsid w:val="004218A5"/>
    <w:rsid w:val="004219C7"/>
    <w:rsid w:val="00421E28"/>
    <w:rsid w:val="00423314"/>
    <w:rsid w:val="004234C0"/>
    <w:rsid w:val="00423B7E"/>
    <w:rsid w:val="00424795"/>
    <w:rsid w:val="00424DA8"/>
    <w:rsid w:val="00426546"/>
    <w:rsid w:val="004268DD"/>
    <w:rsid w:val="00426B93"/>
    <w:rsid w:val="00426CB4"/>
    <w:rsid w:val="004271FF"/>
    <w:rsid w:val="004279F2"/>
    <w:rsid w:val="00430251"/>
    <w:rsid w:val="004303B0"/>
    <w:rsid w:val="00430D41"/>
    <w:rsid w:val="00430D90"/>
    <w:rsid w:val="00431E2F"/>
    <w:rsid w:val="004325A2"/>
    <w:rsid w:val="00433330"/>
    <w:rsid w:val="0043480E"/>
    <w:rsid w:val="00434A0E"/>
    <w:rsid w:val="00434CD8"/>
    <w:rsid w:val="004353A8"/>
    <w:rsid w:val="00435E8F"/>
    <w:rsid w:val="0043669A"/>
    <w:rsid w:val="00441B0F"/>
    <w:rsid w:val="0044246C"/>
    <w:rsid w:val="004438B4"/>
    <w:rsid w:val="00443FB0"/>
    <w:rsid w:val="00444E64"/>
    <w:rsid w:val="00445236"/>
    <w:rsid w:val="004453EE"/>
    <w:rsid w:val="00445988"/>
    <w:rsid w:val="00445D91"/>
    <w:rsid w:val="004467E9"/>
    <w:rsid w:val="00447F7A"/>
    <w:rsid w:val="004510F3"/>
    <w:rsid w:val="004515AA"/>
    <w:rsid w:val="004516D5"/>
    <w:rsid w:val="00451EC6"/>
    <w:rsid w:val="00453DF7"/>
    <w:rsid w:val="00453F9E"/>
    <w:rsid w:val="00454951"/>
    <w:rsid w:val="00454ED3"/>
    <w:rsid w:val="00455DCC"/>
    <w:rsid w:val="0045620B"/>
    <w:rsid w:val="00456934"/>
    <w:rsid w:val="00456B5A"/>
    <w:rsid w:val="00460DF5"/>
    <w:rsid w:val="004610D4"/>
    <w:rsid w:val="00461D75"/>
    <w:rsid w:val="00462DDF"/>
    <w:rsid w:val="00462E36"/>
    <w:rsid w:val="00463F06"/>
    <w:rsid w:val="00467041"/>
    <w:rsid w:val="004678C4"/>
    <w:rsid w:val="00467B65"/>
    <w:rsid w:val="00472033"/>
    <w:rsid w:val="00472A70"/>
    <w:rsid w:val="0047358E"/>
    <w:rsid w:val="00475B7E"/>
    <w:rsid w:val="00476CF8"/>
    <w:rsid w:val="00476F7F"/>
    <w:rsid w:val="0047706A"/>
    <w:rsid w:val="00480DCE"/>
    <w:rsid w:val="00481FFA"/>
    <w:rsid w:val="00482732"/>
    <w:rsid w:val="00482846"/>
    <w:rsid w:val="00482BFC"/>
    <w:rsid w:val="00482DF7"/>
    <w:rsid w:val="00484B6C"/>
    <w:rsid w:val="00484B9A"/>
    <w:rsid w:val="0048547A"/>
    <w:rsid w:val="00485B54"/>
    <w:rsid w:val="00486074"/>
    <w:rsid w:val="00487B71"/>
    <w:rsid w:val="00487C6E"/>
    <w:rsid w:val="00490DAB"/>
    <w:rsid w:val="00491EB4"/>
    <w:rsid w:val="00492E94"/>
    <w:rsid w:val="00493581"/>
    <w:rsid w:val="004939E0"/>
    <w:rsid w:val="004949BE"/>
    <w:rsid w:val="00495165"/>
    <w:rsid w:val="00495636"/>
    <w:rsid w:val="00495D17"/>
    <w:rsid w:val="00496B54"/>
    <w:rsid w:val="0049775B"/>
    <w:rsid w:val="004A09E3"/>
    <w:rsid w:val="004A0F5F"/>
    <w:rsid w:val="004A44D6"/>
    <w:rsid w:val="004A453D"/>
    <w:rsid w:val="004A6526"/>
    <w:rsid w:val="004A7FBF"/>
    <w:rsid w:val="004B004A"/>
    <w:rsid w:val="004B0965"/>
    <w:rsid w:val="004B2BA5"/>
    <w:rsid w:val="004B63EE"/>
    <w:rsid w:val="004B6400"/>
    <w:rsid w:val="004B734B"/>
    <w:rsid w:val="004B7436"/>
    <w:rsid w:val="004C23C3"/>
    <w:rsid w:val="004C3D79"/>
    <w:rsid w:val="004C40BB"/>
    <w:rsid w:val="004C416D"/>
    <w:rsid w:val="004C4FCB"/>
    <w:rsid w:val="004C7823"/>
    <w:rsid w:val="004D01C6"/>
    <w:rsid w:val="004D068E"/>
    <w:rsid w:val="004D2173"/>
    <w:rsid w:val="004D3879"/>
    <w:rsid w:val="004D4424"/>
    <w:rsid w:val="004D6B24"/>
    <w:rsid w:val="004D7F52"/>
    <w:rsid w:val="004E1C70"/>
    <w:rsid w:val="004E4464"/>
    <w:rsid w:val="004E4570"/>
    <w:rsid w:val="004E542C"/>
    <w:rsid w:val="004E5CCD"/>
    <w:rsid w:val="004F01D0"/>
    <w:rsid w:val="004F0901"/>
    <w:rsid w:val="004F14CD"/>
    <w:rsid w:val="004F1F4D"/>
    <w:rsid w:val="004F2290"/>
    <w:rsid w:val="004F272D"/>
    <w:rsid w:val="004F2B7B"/>
    <w:rsid w:val="004F3027"/>
    <w:rsid w:val="004F37C3"/>
    <w:rsid w:val="004F42B7"/>
    <w:rsid w:val="004F793C"/>
    <w:rsid w:val="005001FD"/>
    <w:rsid w:val="00500EF4"/>
    <w:rsid w:val="00501094"/>
    <w:rsid w:val="00501B79"/>
    <w:rsid w:val="00501E9B"/>
    <w:rsid w:val="0050241E"/>
    <w:rsid w:val="00502CD3"/>
    <w:rsid w:val="0050328E"/>
    <w:rsid w:val="00503F97"/>
    <w:rsid w:val="0050632B"/>
    <w:rsid w:val="005064B8"/>
    <w:rsid w:val="00506EAA"/>
    <w:rsid w:val="005075FB"/>
    <w:rsid w:val="00510F62"/>
    <w:rsid w:val="00511507"/>
    <w:rsid w:val="00511E96"/>
    <w:rsid w:val="00512FB4"/>
    <w:rsid w:val="005139F4"/>
    <w:rsid w:val="00513B9A"/>
    <w:rsid w:val="005179B8"/>
    <w:rsid w:val="00521185"/>
    <w:rsid w:val="005223F6"/>
    <w:rsid w:val="00522C31"/>
    <w:rsid w:val="00522E38"/>
    <w:rsid w:val="005238CB"/>
    <w:rsid w:val="005247F5"/>
    <w:rsid w:val="00524CC8"/>
    <w:rsid w:val="00524D6F"/>
    <w:rsid w:val="005251B8"/>
    <w:rsid w:val="00526111"/>
    <w:rsid w:val="0052636D"/>
    <w:rsid w:val="00526839"/>
    <w:rsid w:val="00527280"/>
    <w:rsid w:val="00527F15"/>
    <w:rsid w:val="00530114"/>
    <w:rsid w:val="005305F5"/>
    <w:rsid w:val="005336C5"/>
    <w:rsid w:val="00533A86"/>
    <w:rsid w:val="00533E64"/>
    <w:rsid w:val="0053451E"/>
    <w:rsid w:val="0053471B"/>
    <w:rsid w:val="00534847"/>
    <w:rsid w:val="00534975"/>
    <w:rsid w:val="00540103"/>
    <w:rsid w:val="00540228"/>
    <w:rsid w:val="00541050"/>
    <w:rsid w:val="00541227"/>
    <w:rsid w:val="0054140A"/>
    <w:rsid w:val="00541A4B"/>
    <w:rsid w:val="00542F8B"/>
    <w:rsid w:val="00543010"/>
    <w:rsid w:val="00543030"/>
    <w:rsid w:val="005437BE"/>
    <w:rsid w:val="00544490"/>
    <w:rsid w:val="00545947"/>
    <w:rsid w:val="0054600D"/>
    <w:rsid w:val="0054604A"/>
    <w:rsid w:val="00546374"/>
    <w:rsid w:val="00547748"/>
    <w:rsid w:val="00550121"/>
    <w:rsid w:val="00550124"/>
    <w:rsid w:val="00550C4A"/>
    <w:rsid w:val="00551EEE"/>
    <w:rsid w:val="00553552"/>
    <w:rsid w:val="00553730"/>
    <w:rsid w:val="0056052E"/>
    <w:rsid w:val="00560835"/>
    <w:rsid w:val="0056187C"/>
    <w:rsid w:val="00561FF5"/>
    <w:rsid w:val="00562514"/>
    <w:rsid w:val="0056264E"/>
    <w:rsid w:val="00562DF0"/>
    <w:rsid w:val="005666EF"/>
    <w:rsid w:val="00566C75"/>
    <w:rsid w:val="00574189"/>
    <w:rsid w:val="00574D5F"/>
    <w:rsid w:val="00575675"/>
    <w:rsid w:val="0057731B"/>
    <w:rsid w:val="00577519"/>
    <w:rsid w:val="00581342"/>
    <w:rsid w:val="005831C6"/>
    <w:rsid w:val="00590637"/>
    <w:rsid w:val="0059415A"/>
    <w:rsid w:val="00595E81"/>
    <w:rsid w:val="00596A77"/>
    <w:rsid w:val="00597A6F"/>
    <w:rsid w:val="005A14BE"/>
    <w:rsid w:val="005A1BFA"/>
    <w:rsid w:val="005A2144"/>
    <w:rsid w:val="005A279B"/>
    <w:rsid w:val="005A30E0"/>
    <w:rsid w:val="005A358C"/>
    <w:rsid w:val="005A361F"/>
    <w:rsid w:val="005A3FC7"/>
    <w:rsid w:val="005A51F4"/>
    <w:rsid w:val="005A72E7"/>
    <w:rsid w:val="005A7A54"/>
    <w:rsid w:val="005B0D14"/>
    <w:rsid w:val="005B0F7D"/>
    <w:rsid w:val="005B1D92"/>
    <w:rsid w:val="005B27B2"/>
    <w:rsid w:val="005B2AED"/>
    <w:rsid w:val="005B4B6B"/>
    <w:rsid w:val="005B4F97"/>
    <w:rsid w:val="005B7EED"/>
    <w:rsid w:val="005C0AFC"/>
    <w:rsid w:val="005C1DAD"/>
    <w:rsid w:val="005C348E"/>
    <w:rsid w:val="005C392F"/>
    <w:rsid w:val="005C4260"/>
    <w:rsid w:val="005C4F78"/>
    <w:rsid w:val="005C57FA"/>
    <w:rsid w:val="005C5900"/>
    <w:rsid w:val="005C5AC1"/>
    <w:rsid w:val="005C5F96"/>
    <w:rsid w:val="005C65DC"/>
    <w:rsid w:val="005C6A12"/>
    <w:rsid w:val="005C75D8"/>
    <w:rsid w:val="005D0AFB"/>
    <w:rsid w:val="005D1B92"/>
    <w:rsid w:val="005D2E05"/>
    <w:rsid w:val="005D3A3C"/>
    <w:rsid w:val="005D3ECF"/>
    <w:rsid w:val="005D558A"/>
    <w:rsid w:val="005D5926"/>
    <w:rsid w:val="005D6EB4"/>
    <w:rsid w:val="005E0802"/>
    <w:rsid w:val="005E0BE8"/>
    <w:rsid w:val="005E0BF9"/>
    <w:rsid w:val="005E1C80"/>
    <w:rsid w:val="005E33FA"/>
    <w:rsid w:val="005E366A"/>
    <w:rsid w:val="005E4C81"/>
    <w:rsid w:val="005E6100"/>
    <w:rsid w:val="005E6B7F"/>
    <w:rsid w:val="005F0876"/>
    <w:rsid w:val="005F1486"/>
    <w:rsid w:val="005F23BD"/>
    <w:rsid w:val="005F24CB"/>
    <w:rsid w:val="005F32BF"/>
    <w:rsid w:val="005F35EB"/>
    <w:rsid w:val="005F3773"/>
    <w:rsid w:val="005F37F9"/>
    <w:rsid w:val="005F3B68"/>
    <w:rsid w:val="005F4A51"/>
    <w:rsid w:val="005F5F4B"/>
    <w:rsid w:val="005F6DB3"/>
    <w:rsid w:val="005F734E"/>
    <w:rsid w:val="005F7FDD"/>
    <w:rsid w:val="00600094"/>
    <w:rsid w:val="00600142"/>
    <w:rsid w:val="00602024"/>
    <w:rsid w:val="0060234E"/>
    <w:rsid w:val="006059FD"/>
    <w:rsid w:val="006063AF"/>
    <w:rsid w:val="00606C0F"/>
    <w:rsid w:val="00606C39"/>
    <w:rsid w:val="006107F9"/>
    <w:rsid w:val="00610BA0"/>
    <w:rsid w:val="00610D51"/>
    <w:rsid w:val="006112DD"/>
    <w:rsid w:val="0061146D"/>
    <w:rsid w:val="006129B3"/>
    <w:rsid w:val="00612AAC"/>
    <w:rsid w:val="00612CE5"/>
    <w:rsid w:val="006142FF"/>
    <w:rsid w:val="006143D8"/>
    <w:rsid w:val="0061558F"/>
    <w:rsid w:val="00616349"/>
    <w:rsid w:val="00620231"/>
    <w:rsid w:val="00621478"/>
    <w:rsid w:val="00622C07"/>
    <w:rsid w:val="00623BA9"/>
    <w:rsid w:val="00623E3E"/>
    <w:rsid w:val="00625C1B"/>
    <w:rsid w:val="00625C44"/>
    <w:rsid w:val="006300C1"/>
    <w:rsid w:val="0063140E"/>
    <w:rsid w:val="00631EDF"/>
    <w:rsid w:val="006347B4"/>
    <w:rsid w:val="006357CE"/>
    <w:rsid w:val="00641C76"/>
    <w:rsid w:val="006422C8"/>
    <w:rsid w:val="0064269E"/>
    <w:rsid w:val="00642C9A"/>
    <w:rsid w:val="00643FC9"/>
    <w:rsid w:val="00645E51"/>
    <w:rsid w:val="006464CE"/>
    <w:rsid w:val="00647F35"/>
    <w:rsid w:val="006503F2"/>
    <w:rsid w:val="006504A1"/>
    <w:rsid w:val="00651133"/>
    <w:rsid w:val="00651630"/>
    <w:rsid w:val="00651F3A"/>
    <w:rsid w:val="00652767"/>
    <w:rsid w:val="0065380E"/>
    <w:rsid w:val="00653A02"/>
    <w:rsid w:val="00654A7A"/>
    <w:rsid w:val="00654AE9"/>
    <w:rsid w:val="00655B80"/>
    <w:rsid w:val="00656015"/>
    <w:rsid w:val="00656061"/>
    <w:rsid w:val="006620ED"/>
    <w:rsid w:val="006623E8"/>
    <w:rsid w:val="0066278F"/>
    <w:rsid w:val="0066397B"/>
    <w:rsid w:val="00663BC1"/>
    <w:rsid w:val="00664EFF"/>
    <w:rsid w:val="00664F81"/>
    <w:rsid w:val="0066675B"/>
    <w:rsid w:val="00666766"/>
    <w:rsid w:val="006671A8"/>
    <w:rsid w:val="006710F2"/>
    <w:rsid w:val="006721F7"/>
    <w:rsid w:val="0067341C"/>
    <w:rsid w:val="00673987"/>
    <w:rsid w:val="0067558D"/>
    <w:rsid w:val="00680417"/>
    <w:rsid w:val="00680D45"/>
    <w:rsid w:val="0068157A"/>
    <w:rsid w:val="006818A0"/>
    <w:rsid w:val="00681BD3"/>
    <w:rsid w:val="00682A23"/>
    <w:rsid w:val="006832B9"/>
    <w:rsid w:val="00683487"/>
    <w:rsid w:val="00683560"/>
    <w:rsid w:val="00684DD5"/>
    <w:rsid w:val="0068504C"/>
    <w:rsid w:val="0068521D"/>
    <w:rsid w:val="00692101"/>
    <w:rsid w:val="0069263C"/>
    <w:rsid w:val="00692ACD"/>
    <w:rsid w:val="0069315D"/>
    <w:rsid w:val="0069332D"/>
    <w:rsid w:val="00693517"/>
    <w:rsid w:val="00694F9D"/>
    <w:rsid w:val="00695EDD"/>
    <w:rsid w:val="00697728"/>
    <w:rsid w:val="006978DC"/>
    <w:rsid w:val="00697FF9"/>
    <w:rsid w:val="006A11F4"/>
    <w:rsid w:val="006A1327"/>
    <w:rsid w:val="006A340D"/>
    <w:rsid w:val="006A3CD5"/>
    <w:rsid w:val="006A650F"/>
    <w:rsid w:val="006A6C70"/>
    <w:rsid w:val="006A7583"/>
    <w:rsid w:val="006A76F7"/>
    <w:rsid w:val="006B028B"/>
    <w:rsid w:val="006B0344"/>
    <w:rsid w:val="006B0692"/>
    <w:rsid w:val="006B09C9"/>
    <w:rsid w:val="006B403C"/>
    <w:rsid w:val="006B65C5"/>
    <w:rsid w:val="006B7206"/>
    <w:rsid w:val="006B782F"/>
    <w:rsid w:val="006B78AA"/>
    <w:rsid w:val="006C1FAC"/>
    <w:rsid w:val="006C2AFC"/>
    <w:rsid w:val="006C2CDE"/>
    <w:rsid w:val="006C3C74"/>
    <w:rsid w:val="006C417C"/>
    <w:rsid w:val="006C4539"/>
    <w:rsid w:val="006C551B"/>
    <w:rsid w:val="006C78ED"/>
    <w:rsid w:val="006D119F"/>
    <w:rsid w:val="006D1EC7"/>
    <w:rsid w:val="006D3C1E"/>
    <w:rsid w:val="006D4496"/>
    <w:rsid w:val="006D5EBC"/>
    <w:rsid w:val="006D66C3"/>
    <w:rsid w:val="006D77F5"/>
    <w:rsid w:val="006E2CD7"/>
    <w:rsid w:val="006E3889"/>
    <w:rsid w:val="006E45DC"/>
    <w:rsid w:val="006E54DE"/>
    <w:rsid w:val="006E68D3"/>
    <w:rsid w:val="006E69B6"/>
    <w:rsid w:val="006E7F37"/>
    <w:rsid w:val="006F1124"/>
    <w:rsid w:val="006F163E"/>
    <w:rsid w:val="006F1C83"/>
    <w:rsid w:val="006F379B"/>
    <w:rsid w:val="006F5500"/>
    <w:rsid w:val="006F622D"/>
    <w:rsid w:val="00701955"/>
    <w:rsid w:val="00703040"/>
    <w:rsid w:val="007038A9"/>
    <w:rsid w:val="00705AD4"/>
    <w:rsid w:val="00706275"/>
    <w:rsid w:val="0070672D"/>
    <w:rsid w:val="00707730"/>
    <w:rsid w:val="00707AB8"/>
    <w:rsid w:val="00711A17"/>
    <w:rsid w:val="00711A80"/>
    <w:rsid w:val="0071470E"/>
    <w:rsid w:val="00714881"/>
    <w:rsid w:val="00715186"/>
    <w:rsid w:val="0071575B"/>
    <w:rsid w:val="00716A2D"/>
    <w:rsid w:val="00717277"/>
    <w:rsid w:val="00720D56"/>
    <w:rsid w:val="00721F85"/>
    <w:rsid w:val="00722361"/>
    <w:rsid w:val="007228C2"/>
    <w:rsid w:val="00722DE1"/>
    <w:rsid w:val="00725A49"/>
    <w:rsid w:val="00730045"/>
    <w:rsid w:val="0073093B"/>
    <w:rsid w:val="00731C07"/>
    <w:rsid w:val="00735AF9"/>
    <w:rsid w:val="007360E6"/>
    <w:rsid w:val="007367EB"/>
    <w:rsid w:val="007368B1"/>
    <w:rsid w:val="00736BF4"/>
    <w:rsid w:val="007420D5"/>
    <w:rsid w:val="00742AEB"/>
    <w:rsid w:val="00742D3E"/>
    <w:rsid w:val="00744207"/>
    <w:rsid w:val="0074509B"/>
    <w:rsid w:val="00746B0E"/>
    <w:rsid w:val="00747109"/>
    <w:rsid w:val="00747C71"/>
    <w:rsid w:val="00750FB3"/>
    <w:rsid w:val="00751300"/>
    <w:rsid w:val="007523CB"/>
    <w:rsid w:val="00752A16"/>
    <w:rsid w:val="00752E87"/>
    <w:rsid w:val="007532F7"/>
    <w:rsid w:val="007541F6"/>
    <w:rsid w:val="0075476E"/>
    <w:rsid w:val="00755123"/>
    <w:rsid w:val="00755A21"/>
    <w:rsid w:val="007561BB"/>
    <w:rsid w:val="00756372"/>
    <w:rsid w:val="0075759B"/>
    <w:rsid w:val="00760280"/>
    <w:rsid w:val="007603E4"/>
    <w:rsid w:val="00762424"/>
    <w:rsid w:val="00763179"/>
    <w:rsid w:val="00766A33"/>
    <w:rsid w:val="007700FA"/>
    <w:rsid w:val="00770765"/>
    <w:rsid w:val="007709C9"/>
    <w:rsid w:val="00770A64"/>
    <w:rsid w:val="007714C1"/>
    <w:rsid w:val="00771E3E"/>
    <w:rsid w:val="00773967"/>
    <w:rsid w:val="00773AD7"/>
    <w:rsid w:val="00773CEF"/>
    <w:rsid w:val="00775715"/>
    <w:rsid w:val="00775D90"/>
    <w:rsid w:val="00775EAF"/>
    <w:rsid w:val="00777783"/>
    <w:rsid w:val="007777E6"/>
    <w:rsid w:val="007804E3"/>
    <w:rsid w:val="00780579"/>
    <w:rsid w:val="007805DE"/>
    <w:rsid w:val="00781BA5"/>
    <w:rsid w:val="00782E15"/>
    <w:rsid w:val="00784109"/>
    <w:rsid w:val="00784E47"/>
    <w:rsid w:val="00786599"/>
    <w:rsid w:val="00786DF6"/>
    <w:rsid w:val="00787AFE"/>
    <w:rsid w:val="00791B1D"/>
    <w:rsid w:val="00792703"/>
    <w:rsid w:val="0079287F"/>
    <w:rsid w:val="00793256"/>
    <w:rsid w:val="0079325C"/>
    <w:rsid w:val="0079433A"/>
    <w:rsid w:val="00795622"/>
    <w:rsid w:val="00795E77"/>
    <w:rsid w:val="00796804"/>
    <w:rsid w:val="0079776A"/>
    <w:rsid w:val="00797C0C"/>
    <w:rsid w:val="007A0F7E"/>
    <w:rsid w:val="007A1081"/>
    <w:rsid w:val="007A12C8"/>
    <w:rsid w:val="007A15ED"/>
    <w:rsid w:val="007A1E95"/>
    <w:rsid w:val="007A289E"/>
    <w:rsid w:val="007A352C"/>
    <w:rsid w:val="007A42BE"/>
    <w:rsid w:val="007A431C"/>
    <w:rsid w:val="007A45C6"/>
    <w:rsid w:val="007A484B"/>
    <w:rsid w:val="007A5E51"/>
    <w:rsid w:val="007A6A53"/>
    <w:rsid w:val="007A6B3D"/>
    <w:rsid w:val="007A7F2E"/>
    <w:rsid w:val="007B21C3"/>
    <w:rsid w:val="007B3A01"/>
    <w:rsid w:val="007B3C72"/>
    <w:rsid w:val="007B61B1"/>
    <w:rsid w:val="007B690D"/>
    <w:rsid w:val="007C011A"/>
    <w:rsid w:val="007C2095"/>
    <w:rsid w:val="007C5A60"/>
    <w:rsid w:val="007C5CBB"/>
    <w:rsid w:val="007C5D41"/>
    <w:rsid w:val="007C6442"/>
    <w:rsid w:val="007D0F25"/>
    <w:rsid w:val="007D30B1"/>
    <w:rsid w:val="007D3D49"/>
    <w:rsid w:val="007D573D"/>
    <w:rsid w:val="007D61D7"/>
    <w:rsid w:val="007D66AF"/>
    <w:rsid w:val="007D683A"/>
    <w:rsid w:val="007D6A67"/>
    <w:rsid w:val="007D6F19"/>
    <w:rsid w:val="007D7D0E"/>
    <w:rsid w:val="007E08BB"/>
    <w:rsid w:val="007E0D4F"/>
    <w:rsid w:val="007E1069"/>
    <w:rsid w:val="007E1E07"/>
    <w:rsid w:val="007E1E30"/>
    <w:rsid w:val="007E2E95"/>
    <w:rsid w:val="007E3463"/>
    <w:rsid w:val="007E3B0A"/>
    <w:rsid w:val="007E40B6"/>
    <w:rsid w:val="007E4885"/>
    <w:rsid w:val="007E6241"/>
    <w:rsid w:val="007E6CFA"/>
    <w:rsid w:val="007E7487"/>
    <w:rsid w:val="007E7C91"/>
    <w:rsid w:val="007E7D1C"/>
    <w:rsid w:val="007F10E3"/>
    <w:rsid w:val="007F153B"/>
    <w:rsid w:val="007F1812"/>
    <w:rsid w:val="007F1DBE"/>
    <w:rsid w:val="007F257C"/>
    <w:rsid w:val="007F28A7"/>
    <w:rsid w:val="007F3E64"/>
    <w:rsid w:val="007F507B"/>
    <w:rsid w:val="007F5B27"/>
    <w:rsid w:val="007F7808"/>
    <w:rsid w:val="008007AB"/>
    <w:rsid w:val="00800B81"/>
    <w:rsid w:val="0080124B"/>
    <w:rsid w:val="0080155F"/>
    <w:rsid w:val="008021A7"/>
    <w:rsid w:val="00803568"/>
    <w:rsid w:val="00803EA7"/>
    <w:rsid w:val="0080444B"/>
    <w:rsid w:val="00805965"/>
    <w:rsid w:val="00805BCD"/>
    <w:rsid w:val="00805DB2"/>
    <w:rsid w:val="0080714D"/>
    <w:rsid w:val="0080779A"/>
    <w:rsid w:val="00807C39"/>
    <w:rsid w:val="0081059C"/>
    <w:rsid w:val="00810A9A"/>
    <w:rsid w:val="00810ADF"/>
    <w:rsid w:val="00812025"/>
    <w:rsid w:val="008122DB"/>
    <w:rsid w:val="0081251D"/>
    <w:rsid w:val="0081315A"/>
    <w:rsid w:val="00814209"/>
    <w:rsid w:val="00814448"/>
    <w:rsid w:val="008148B0"/>
    <w:rsid w:val="0081525F"/>
    <w:rsid w:val="008158EE"/>
    <w:rsid w:val="00815AF8"/>
    <w:rsid w:val="00816C93"/>
    <w:rsid w:val="00817C4B"/>
    <w:rsid w:val="00817FDB"/>
    <w:rsid w:val="008215C6"/>
    <w:rsid w:val="008218B1"/>
    <w:rsid w:val="00821C9A"/>
    <w:rsid w:val="0082288F"/>
    <w:rsid w:val="0082294C"/>
    <w:rsid w:val="00822DFA"/>
    <w:rsid w:val="0082455A"/>
    <w:rsid w:val="0082486A"/>
    <w:rsid w:val="0082540E"/>
    <w:rsid w:val="00825958"/>
    <w:rsid w:val="008268A2"/>
    <w:rsid w:val="00830429"/>
    <w:rsid w:val="00831141"/>
    <w:rsid w:val="00832841"/>
    <w:rsid w:val="008337DE"/>
    <w:rsid w:val="008341F2"/>
    <w:rsid w:val="00834272"/>
    <w:rsid w:val="008345FA"/>
    <w:rsid w:val="00834686"/>
    <w:rsid w:val="00834939"/>
    <w:rsid w:val="00836552"/>
    <w:rsid w:val="00837BCB"/>
    <w:rsid w:val="0084088F"/>
    <w:rsid w:val="008411CB"/>
    <w:rsid w:val="00841E75"/>
    <w:rsid w:val="00843434"/>
    <w:rsid w:val="00846480"/>
    <w:rsid w:val="008467FC"/>
    <w:rsid w:val="00846E24"/>
    <w:rsid w:val="00847214"/>
    <w:rsid w:val="008504B4"/>
    <w:rsid w:val="00850B8D"/>
    <w:rsid w:val="008552C7"/>
    <w:rsid w:val="0085597F"/>
    <w:rsid w:val="00855D47"/>
    <w:rsid w:val="00855E84"/>
    <w:rsid w:val="00857489"/>
    <w:rsid w:val="00861412"/>
    <w:rsid w:val="00861B51"/>
    <w:rsid w:val="008620D7"/>
    <w:rsid w:val="00862A9E"/>
    <w:rsid w:val="008645F6"/>
    <w:rsid w:val="00864D59"/>
    <w:rsid w:val="00865BDB"/>
    <w:rsid w:val="0086690C"/>
    <w:rsid w:val="00867C3F"/>
    <w:rsid w:val="008702E6"/>
    <w:rsid w:val="008716C6"/>
    <w:rsid w:val="00871A17"/>
    <w:rsid w:val="008730F7"/>
    <w:rsid w:val="00873D7B"/>
    <w:rsid w:val="00873F84"/>
    <w:rsid w:val="0087703B"/>
    <w:rsid w:val="00880119"/>
    <w:rsid w:val="008805B1"/>
    <w:rsid w:val="008823A7"/>
    <w:rsid w:val="00882CE1"/>
    <w:rsid w:val="00884DDC"/>
    <w:rsid w:val="00886335"/>
    <w:rsid w:val="008863EA"/>
    <w:rsid w:val="008870EE"/>
    <w:rsid w:val="00890120"/>
    <w:rsid w:val="00890170"/>
    <w:rsid w:val="00890A1F"/>
    <w:rsid w:val="00890D7A"/>
    <w:rsid w:val="00890E90"/>
    <w:rsid w:val="008914B5"/>
    <w:rsid w:val="00892112"/>
    <w:rsid w:val="00892FA8"/>
    <w:rsid w:val="00893376"/>
    <w:rsid w:val="00895144"/>
    <w:rsid w:val="00895433"/>
    <w:rsid w:val="00895542"/>
    <w:rsid w:val="00896C7E"/>
    <w:rsid w:val="00896DD7"/>
    <w:rsid w:val="008A0A72"/>
    <w:rsid w:val="008A0EFF"/>
    <w:rsid w:val="008A14DF"/>
    <w:rsid w:val="008A21CB"/>
    <w:rsid w:val="008A2A5A"/>
    <w:rsid w:val="008A3658"/>
    <w:rsid w:val="008A5AB7"/>
    <w:rsid w:val="008A7B33"/>
    <w:rsid w:val="008B011F"/>
    <w:rsid w:val="008B0C3F"/>
    <w:rsid w:val="008B76F4"/>
    <w:rsid w:val="008B7F62"/>
    <w:rsid w:val="008C0833"/>
    <w:rsid w:val="008C0AB9"/>
    <w:rsid w:val="008C1F01"/>
    <w:rsid w:val="008C4935"/>
    <w:rsid w:val="008C5D1E"/>
    <w:rsid w:val="008D010D"/>
    <w:rsid w:val="008D2A5F"/>
    <w:rsid w:val="008D30D7"/>
    <w:rsid w:val="008D3272"/>
    <w:rsid w:val="008D3ACB"/>
    <w:rsid w:val="008D74F3"/>
    <w:rsid w:val="008D759A"/>
    <w:rsid w:val="008E363B"/>
    <w:rsid w:val="008E4C1E"/>
    <w:rsid w:val="008E5160"/>
    <w:rsid w:val="008E55D2"/>
    <w:rsid w:val="008E656E"/>
    <w:rsid w:val="008E7DF4"/>
    <w:rsid w:val="008F17BD"/>
    <w:rsid w:val="008F2CF2"/>
    <w:rsid w:val="008F5817"/>
    <w:rsid w:val="008F7006"/>
    <w:rsid w:val="00900CAB"/>
    <w:rsid w:val="00901859"/>
    <w:rsid w:val="009020CC"/>
    <w:rsid w:val="00902CE8"/>
    <w:rsid w:val="00903D3C"/>
    <w:rsid w:val="00904736"/>
    <w:rsid w:val="00904DFA"/>
    <w:rsid w:val="009060E7"/>
    <w:rsid w:val="00906A68"/>
    <w:rsid w:val="0090711E"/>
    <w:rsid w:val="0091059B"/>
    <w:rsid w:val="009108CA"/>
    <w:rsid w:val="009117CD"/>
    <w:rsid w:val="00911FB2"/>
    <w:rsid w:val="009139F8"/>
    <w:rsid w:val="00914AE1"/>
    <w:rsid w:val="00915E60"/>
    <w:rsid w:val="00915E6B"/>
    <w:rsid w:val="00916514"/>
    <w:rsid w:val="00916553"/>
    <w:rsid w:val="009169EE"/>
    <w:rsid w:val="00916E17"/>
    <w:rsid w:val="00916F98"/>
    <w:rsid w:val="0092210C"/>
    <w:rsid w:val="00930117"/>
    <w:rsid w:val="00930181"/>
    <w:rsid w:val="009305D6"/>
    <w:rsid w:val="00931B3B"/>
    <w:rsid w:val="00932436"/>
    <w:rsid w:val="00934F6F"/>
    <w:rsid w:val="00935D25"/>
    <w:rsid w:val="00936242"/>
    <w:rsid w:val="009362A7"/>
    <w:rsid w:val="00937BDD"/>
    <w:rsid w:val="00940804"/>
    <w:rsid w:val="00941F8B"/>
    <w:rsid w:val="00942C0F"/>
    <w:rsid w:val="00944A3E"/>
    <w:rsid w:val="00947AFF"/>
    <w:rsid w:val="009515D2"/>
    <w:rsid w:val="009528F0"/>
    <w:rsid w:val="0095330A"/>
    <w:rsid w:val="009534A3"/>
    <w:rsid w:val="00953AAB"/>
    <w:rsid w:val="00954863"/>
    <w:rsid w:val="00954DAD"/>
    <w:rsid w:val="00955330"/>
    <w:rsid w:val="0095558D"/>
    <w:rsid w:val="00955830"/>
    <w:rsid w:val="00956315"/>
    <w:rsid w:val="009564D5"/>
    <w:rsid w:val="00956ACA"/>
    <w:rsid w:val="00957264"/>
    <w:rsid w:val="00957472"/>
    <w:rsid w:val="00957F11"/>
    <w:rsid w:val="009608FC"/>
    <w:rsid w:val="00961131"/>
    <w:rsid w:val="0096373B"/>
    <w:rsid w:val="00963A6D"/>
    <w:rsid w:val="00964FEB"/>
    <w:rsid w:val="00966327"/>
    <w:rsid w:val="0096784C"/>
    <w:rsid w:val="0097117D"/>
    <w:rsid w:val="009725A2"/>
    <w:rsid w:val="00973348"/>
    <w:rsid w:val="00974DE9"/>
    <w:rsid w:val="00975906"/>
    <w:rsid w:val="00975995"/>
    <w:rsid w:val="00975B22"/>
    <w:rsid w:val="009803D5"/>
    <w:rsid w:val="00980E81"/>
    <w:rsid w:val="00981C2C"/>
    <w:rsid w:val="00981FF2"/>
    <w:rsid w:val="00982310"/>
    <w:rsid w:val="009823A1"/>
    <w:rsid w:val="0098480C"/>
    <w:rsid w:val="009852AD"/>
    <w:rsid w:val="00985F4C"/>
    <w:rsid w:val="00985F4F"/>
    <w:rsid w:val="00986331"/>
    <w:rsid w:val="0098674F"/>
    <w:rsid w:val="00987324"/>
    <w:rsid w:val="00987381"/>
    <w:rsid w:val="009910E9"/>
    <w:rsid w:val="00991A06"/>
    <w:rsid w:val="00991E68"/>
    <w:rsid w:val="009932B6"/>
    <w:rsid w:val="00993E04"/>
    <w:rsid w:val="00993F49"/>
    <w:rsid w:val="00994D4D"/>
    <w:rsid w:val="00995463"/>
    <w:rsid w:val="00995C2B"/>
    <w:rsid w:val="00995D21"/>
    <w:rsid w:val="009963CA"/>
    <w:rsid w:val="009971BB"/>
    <w:rsid w:val="009A1082"/>
    <w:rsid w:val="009A182A"/>
    <w:rsid w:val="009A1B0E"/>
    <w:rsid w:val="009A27E6"/>
    <w:rsid w:val="009A3178"/>
    <w:rsid w:val="009A3EBE"/>
    <w:rsid w:val="009A5EA4"/>
    <w:rsid w:val="009A6575"/>
    <w:rsid w:val="009A6940"/>
    <w:rsid w:val="009B1BB4"/>
    <w:rsid w:val="009B1CBF"/>
    <w:rsid w:val="009B2F9C"/>
    <w:rsid w:val="009B335F"/>
    <w:rsid w:val="009B4449"/>
    <w:rsid w:val="009B553D"/>
    <w:rsid w:val="009B686A"/>
    <w:rsid w:val="009B6A12"/>
    <w:rsid w:val="009B7B8E"/>
    <w:rsid w:val="009C0635"/>
    <w:rsid w:val="009C13F4"/>
    <w:rsid w:val="009C140A"/>
    <w:rsid w:val="009C4711"/>
    <w:rsid w:val="009C5288"/>
    <w:rsid w:val="009C52C5"/>
    <w:rsid w:val="009C539B"/>
    <w:rsid w:val="009C69A0"/>
    <w:rsid w:val="009C7912"/>
    <w:rsid w:val="009C796F"/>
    <w:rsid w:val="009D0263"/>
    <w:rsid w:val="009D14A0"/>
    <w:rsid w:val="009D266D"/>
    <w:rsid w:val="009D3E8B"/>
    <w:rsid w:val="009D3FCE"/>
    <w:rsid w:val="009D43C2"/>
    <w:rsid w:val="009D4B5C"/>
    <w:rsid w:val="009D5311"/>
    <w:rsid w:val="009D5473"/>
    <w:rsid w:val="009D5C07"/>
    <w:rsid w:val="009D716B"/>
    <w:rsid w:val="009E30BC"/>
    <w:rsid w:val="009E3FCC"/>
    <w:rsid w:val="009E4D16"/>
    <w:rsid w:val="009E4D5C"/>
    <w:rsid w:val="009E4D82"/>
    <w:rsid w:val="009E69AD"/>
    <w:rsid w:val="009E6F65"/>
    <w:rsid w:val="009F03CC"/>
    <w:rsid w:val="009F1C55"/>
    <w:rsid w:val="009F342A"/>
    <w:rsid w:val="009F3432"/>
    <w:rsid w:val="009F378F"/>
    <w:rsid w:val="009F3C5E"/>
    <w:rsid w:val="009F408C"/>
    <w:rsid w:val="009F412F"/>
    <w:rsid w:val="009F6874"/>
    <w:rsid w:val="009F7EBD"/>
    <w:rsid w:val="00A01CD2"/>
    <w:rsid w:val="00A025A4"/>
    <w:rsid w:val="00A039B4"/>
    <w:rsid w:val="00A03ACA"/>
    <w:rsid w:val="00A04124"/>
    <w:rsid w:val="00A049BF"/>
    <w:rsid w:val="00A05976"/>
    <w:rsid w:val="00A06843"/>
    <w:rsid w:val="00A07758"/>
    <w:rsid w:val="00A106DC"/>
    <w:rsid w:val="00A119C6"/>
    <w:rsid w:val="00A12A73"/>
    <w:rsid w:val="00A140EE"/>
    <w:rsid w:val="00A14F67"/>
    <w:rsid w:val="00A21A13"/>
    <w:rsid w:val="00A22719"/>
    <w:rsid w:val="00A22785"/>
    <w:rsid w:val="00A22EC3"/>
    <w:rsid w:val="00A237C3"/>
    <w:rsid w:val="00A23E17"/>
    <w:rsid w:val="00A27A4F"/>
    <w:rsid w:val="00A27E6D"/>
    <w:rsid w:val="00A30BFC"/>
    <w:rsid w:val="00A316BB"/>
    <w:rsid w:val="00A31725"/>
    <w:rsid w:val="00A32D2C"/>
    <w:rsid w:val="00A33243"/>
    <w:rsid w:val="00A33559"/>
    <w:rsid w:val="00A36B30"/>
    <w:rsid w:val="00A36CF5"/>
    <w:rsid w:val="00A379C1"/>
    <w:rsid w:val="00A37D0F"/>
    <w:rsid w:val="00A42489"/>
    <w:rsid w:val="00A46718"/>
    <w:rsid w:val="00A473FA"/>
    <w:rsid w:val="00A506FD"/>
    <w:rsid w:val="00A5082A"/>
    <w:rsid w:val="00A5382C"/>
    <w:rsid w:val="00A540B1"/>
    <w:rsid w:val="00A54A31"/>
    <w:rsid w:val="00A54DFA"/>
    <w:rsid w:val="00A55180"/>
    <w:rsid w:val="00A55D57"/>
    <w:rsid w:val="00A56335"/>
    <w:rsid w:val="00A576EF"/>
    <w:rsid w:val="00A616CA"/>
    <w:rsid w:val="00A61718"/>
    <w:rsid w:val="00A6180D"/>
    <w:rsid w:val="00A61C89"/>
    <w:rsid w:val="00A6269B"/>
    <w:rsid w:val="00A63703"/>
    <w:rsid w:val="00A644E2"/>
    <w:rsid w:val="00A64572"/>
    <w:rsid w:val="00A64A73"/>
    <w:rsid w:val="00A654C0"/>
    <w:rsid w:val="00A65B36"/>
    <w:rsid w:val="00A7041F"/>
    <w:rsid w:val="00A70A7E"/>
    <w:rsid w:val="00A70CE9"/>
    <w:rsid w:val="00A71D65"/>
    <w:rsid w:val="00A7258F"/>
    <w:rsid w:val="00A72D26"/>
    <w:rsid w:val="00A73970"/>
    <w:rsid w:val="00A73D94"/>
    <w:rsid w:val="00A73DF3"/>
    <w:rsid w:val="00A757A5"/>
    <w:rsid w:val="00A75AB5"/>
    <w:rsid w:val="00A76154"/>
    <w:rsid w:val="00A76F0D"/>
    <w:rsid w:val="00A82633"/>
    <w:rsid w:val="00A82662"/>
    <w:rsid w:val="00A827C1"/>
    <w:rsid w:val="00A82D4B"/>
    <w:rsid w:val="00A831C3"/>
    <w:rsid w:val="00A84327"/>
    <w:rsid w:val="00A84E2C"/>
    <w:rsid w:val="00A871F9"/>
    <w:rsid w:val="00A87E36"/>
    <w:rsid w:val="00A90377"/>
    <w:rsid w:val="00A90779"/>
    <w:rsid w:val="00A92183"/>
    <w:rsid w:val="00A93015"/>
    <w:rsid w:val="00A941B9"/>
    <w:rsid w:val="00A943E8"/>
    <w:rsid w:val="00A94438"/>
    <w:rsid w:val="00A94522"/>
    <w:rsid w:val="00A94C37"/>
    <w:rsid w:val="00A95358"/>
    <w:rsid w:val="00A958F2"/>
    <w:rsid w:val="00A95EF3"/>
    <w:rsid w:val="00A9615C"/>
    <w:rsid w:val="00A963B9"/>
    <w:rsid w:val="00A977CE"/>
    <w:rsid w:val="00A97B24"/>
    <w:rsid w:val="00AA02FA"/>
    <w:rsid w:val="00AA0C5A"/>
    <w:rsid w:val="00AA0CB4"/>
    <w:rsid w:val="00AA2A2E"/>
    <w:rsid w:val="00AA2E11"/>
    <w:rsid w:val="00AA4732"/>
    <w:rsid w:val="00AA4B5A"/>
    <w:rsid w:val="00AA5718"/>
    <w:rsid w:val="00AA57F8"/>
    <w:rsid w:val="00AA6745"/>
    <w:rsid w:val="00AA6B6D"/>
    <w:rsid w:val="00AA772E"/>
    <w:rsid w:val="00AB0117"/>
    <w:rsid w:val="00AB0871"/>
    <w:rsid w:val="00AB0AD1"/>
    <w:rsid w:val="00AB19F0"/>
    <w:rsid w:val="00AB2977"/>
    <w:rsid w:val="00AB2F24"/>
    <w:rsid w:val="00AB385B"/>
    <w:rsid w:val="00AB3BEC"/>
    <w:rsid w:val="00AB469B"/>
    <w:rsid w:val="00AB6B4A"/>
    <w:rsid w:val="00AB6D22"/>
    <w:rsid w:val="00AC1131"/>
    <w:rsid w:val="00AC2595"/>
    <w:rsid w:val="00AC2DF3"/>
    <w:rsid w:val="00AC2FF2"/>
    <w:rsid w:val="00AC324C"/>
    <w:rsid w:val="00AC3D5F"/>
    <w:rsid w:val="00AC4EA1"/>
    <w:rsid w:val="00AC4F0A"/>
    <w:rsid w:val="00AC524E"/>
    <w:rsid w:val="00AC638F"/>
    <w:rsid w:val="00AC6D66"/>
    <w:rsid w:val="00AD1142"/>
    <w:rsid w:val="00AD1329"/>
    <w:rsid w:val="00AD1B4C"/>
    <w:rsid w:val="00AD2CFB"/>
    <w:rsid w:val="00AD3173"/>
    <w:rsid w:val="00AD3E76"/>
    <w:rsid w:val="00AD40D4"/>
    <w:rsid w:val="00AD46EF"/>
    <w:rsid w:val="00AD483A"/>
    <w:rsid w:val="00AD5EF5"/>
    <w:rsid w:val="00AD61F2"/>
    <w:rsid w:val="00AE016F"/>
    <w:rsid w:val="00AE0DB3"/>
    <w:rsid w:val="00AE24BB"/>
    <w:rsid w:val="00AE27B6"/>
    <w:rsid w:val="00AE2920"/>
    <w:rsid w:val="00AE2A00"/>
    <w:rsid w:val="00AE31E6"/>
    <w:rsid w:val="00AE7A08"/>
    <w:rsid w:val="00AF0965"/>
    <w:rsid w:val="00AF1509"/>
    <w:rsid w:val="00AF2A1E"/>
    <w:rsid w:val="00AF323E"/>
    <w:rsid w:val="00AF39AC"/>
    <w:rsid w:val="00AF3BCE"/>
    <w:rsid w:val="00AF3DCB"/>
    <w:rsid w:val="00AF3F3B"/>
    <w:rsid w:val="00AF4295"/>
    <w:rsid w:val="00AF781F"/>
    <w:rsid w:val="00B01461"/>
    <w:rsid w:val="00B02273"/>
    <w:rsid w:val="00B0260D"/>
    <w:rsid w:val="00B041E9"/>
    <w:rsid w:val="00B0435A"/>
    <w:rsid w:val="00B0527A"/>
    <w:rsid w:val="00B06E94"/>
    <w:rsid w:val="00B10BE9"/>
    <w:rsid w:val="00B12ADE"/>
    <w:rsid w:val="00B1347A"/>
    <w:rsid w:val="00B139F0"/>
    <w:rsid w:val="00B13F01"/>
    <w:rsid w:val="00B143E1"/>
    <w:rsid w:val="00B147F3"/>
    <w:rsid w:val="00B14AFA"/>
    <w:rsid w:val="00B15CFF"/>
    <w:rsid w:val="00B16651"/>
    <w:rsid w:val="00B16FEA"/>
    <w:rsid w:val="00B1775E"/>
    <w:rsid w:val="00B221FE"/>
    <w:rsid w:val="00B22282"/>
    <w:rsid w:val="00B22611"/>
    <w:rsid w:val="00B23E4E"/>
    <w:rsid w:val="00B2451D"/>
    <w:rsid w:val="00B2465C"/>
    <w:rsid w:val="00B24B1B"/>
    <w:rsid w:val="00B2510E"/>
    <w:rsid w:val="00B261BE"/>
    <w:rsid w:val="00B270CB"/>
    <w:rsid w:val="00B27E93"/>
    <w:rsid w:val="00B304CA"/>
    <w:rsid w:val="00B33259"/>
    <w:rsid w:val="00B33AC5"/>
    <w:rsid w:val="00B348F1"/>
    <w:rsid w:val="00B35CBC"/>
    <w:rsid w:val="00B368D7"/>
    <w:rsid w:val="00B37014"/>
    <w:rsid w:val="00B373B8"/>
    <w:rsid w:val="00B3772F"/>
    <w:rsid w:val="00B42779"/>
    <w:rsid w:val="00B42937"/>
    <w:rsid w:val="00B429ED"/>
    <w:rsid w:val="00B42A03"/>
    <w:rsid w:val="00B42B8D"/>
    <w:rsid w:val="00B43421"/>
    <w:rsid w:val="00B43892"/>
    <w:rsid w:val="00B43F5A"/>
    <w:rsid w:val="00B44485"/>
    <w:rsid w:val="00B45465"/>
    <w:rsid w:val="00B5034C"/>
    <w:rsid w:val="00B51C75"/>
    <w:rsid w:val="00B51D04"/>
    <w:rsid w:val="00B52888"/>
    <w:rsid w:val="00B53339"/>
    <w:rsid w:val="00B53771"/>
    <w:rsid w:val="00B55AE9"/>
    <w:rsid w:val="00B56AC2"/>
    <w:rsid w:val="00B56D70"/>
    <w:rsid w:val="00B57CB6"/>
    <w:rsid w:val="00B57F6B"/>
    <w:rsid w:val="00B6258B"/>
    <w:rsid w:val="00B62F44"/>
    <w:rsid w:val="00B6533E"/>
    <w:rsid w:val="00B659ED"/>
    <w:rsid w:val="00B6642E"/>
    <w:rsid w:val="00B67EEC"/>
    <w:rsid w:val="00B71239"/>
    <w:rsid w:val="00B71AF9"/>
    <w:rsid w:val="00B73014"/>
    <w:rsid w:val="00B73992"/>
    <w:rsid w:val="00B73BF8"/>
    <w:rsid w:val="00B74217"/>
    <w:rsid w:val="00B7564E"/>
    <w:rsid w:val="00B762E1"/>
    <w:rsid w:val="00B772D0"/>
    <w:rsid w:val="00B77885"/>
    <w:rsid w:val="00B7791D"/>
    <w:rsid w:val="00B8090E"/>
    <w:rsid w:val="00B84668"/>
    <w:rsid w:val="00B87A1B"/>
    <w:rsid w:val="00B87B23"/>
    <w:rsid w:val="00B90135"/>
    <w:rsid w:val="00B912FC"/>
    <w:rsid w:val="00B92043"/>
    <w:rsid w:val="00B927F6"/>
    <w:rsid w:val="00B928B2"/>
    <w:rsid w:val="00B93266"/>
    <w:rsid w:val="00B93821"/>
    <w:rsid w:val="00B956F4"/>
    <w:rsid w:val="00B95E78"/>
    <w:rsid w:val="00B97581"/>
    <w:rsid w:val="00BA039C"/>
    <w:rsid w:val="00BA097A"/>
    <w:rsid w:val="00BA0CD9"/>
    <w:rsid w:val="00BA1562"/>
    <w:rsid w:val="00BA17A2"/>
    <w:rsid w:val="00BA1846"/>
    <w:rsid w:val="00BA1E0C"/>
    <w:rsid w:val="00BA411D"/>
    <w:rsid w:val="00BA612C"/>
    <w:rsid w:val="00BA614C"/>
    <w:rsid w:val="00BA6A2A"/>
    <w:rsid w:val="00BB0B16"/>
    <w:rsid w:val="00BB0EA4"/>
    <w:rsid w:val="00BB0F80"/>
    <w:rsid w:val="00BB1528"/>
    <w:rsid w:val="00BB1723"/>
    <w:rsid w:val="00BB197A"/>
    <w:rsid w:val="00BB1EE6"/>
    <w:rsid w:val="00BB292A"/>
    <w:rsid w:val="00BB3D83"/>
    <w:rsid w:val="00BB4914"/>
    <w:rsid w:val="00BB5D7A"/>
    <w:rsid w:val="00BB5E2D"/>
    <w:rsid w:val="00BB63DF"/>
    <w:rsid w:val="00BB6408"/>
    <w:rsid w:val="00BB6C03"/>
    <w:rsid w:val="00BB73C5"/>
    <w:rsid w:val="00BB7A6F"/>
    <w:rsid w:val="00BB7B04"/>
    <w:rsid w:val="00BC0004"/>
    <w:rsid w:val="00BC1691"/>
    <w:rsid w:val="00BC358A"/>
    <w:rsid w:val="00BC5855"/>
    <w:rsid w:val="00BC66D2"/>
    <w:rsid w:val="00BD0BC4"/>
    <w:rsid w:val="00BD12E0"/>
    <w:rsid w:val="00BD1FB9"/>
    <w:rsid w:val="00BD3939"/>
    <w:rsid w:val="00BD4588"/>
    <w:rsid w:val="00BD5249"/>
    <w:rsid w:val="00BD57AD"/>
    <w:rsid w:val="00BD5DDC"/>
    <w:rsid w:val="00BD63D6"/>
    <w:rsid w:val="00BD7991"/>
    <w:rsid w:val="00BD7A77"/>
    <w:rsid w:val="00BD7F0F"/>
    <w:rsid w:val="00BE129A"/>
    <w:rsid w:val="00BE1B83"/>
    <w:rsid w:val="00BE2504"/>
    <w:rsid w:val="00BE2921"/>
    <w:rsid w:val="00BE2AEC"/>
    <w:rsid w:val="00BE3610"/>
    <w:rsid w:val="00BE37DB"/>
    <w:rsid w:val="00BE4A20"/>
    <w:rsid w:val="00BE4FCE"/>
    <w:rsid w:val="00BE5A42"/>
    <w:rsid w:val="00BE6D4D"/>
    <w:rsid w:val="00BF021F"/>
    <w:rsid w:val="00BF023F"/>
    <w:rsid w:val="00BF3CC6"/>
    <w:rsid w:val="00BF43CB"/>
    <w:rsid w:val="00BF4F31"/>
    <w:rsid w:val="00BF4F83"/>
    <w:rsid w:val="00BF5445"/>
    <w:rsid w:val="00BF5462"/>
    <w:rsid w:val="00BF6032"/>
    <w:rsid w:val="00BF7C01"/>
    <w:rsid w:val="00BF7C72"/>
    <w:rsid w:val="00C01128"/>
    <w:rsid w:val="00C02027"/>
    <w:rsid w:val="00C03736"/>
    <w:rsid w:val="00C03E36"/>
    <w:rsid w:val="00C0442F"/>
    <w:rsid w:val="00C04CE7"/>
    <w:rsid w:val="00C052C6"/>
    <w:rsid w:val="00C056BB"/>
    <w:rsid w:val="00C07506"/>
    <w:rsid w:val="00C07F4A"/>
    <w:rsid w:val="00C11BD8"/>
    <w:rsid w:val="00C12545"/>
    <w:rsid w:val="00C130CB"/>
    <w:rsid w:val="00C13B17"/>
    <w:rsid w:val="00C13FC6"/>
    <w:rsid w:val="00C151C4"/>
    <w:rsid w:val="00C152A9"/>
    <w:rsid w:val="00C16AF4"/>
    <w:rsid w:val="00C17FED"/>
    <w:rsid w:val="00C20828"/>
    <w:rsid w:val="00C20C79"/>
    <w:rsid w:val="00C21840"/>
    <w:rsid w:val="00C22309"/>
    <w:rsid w:val="00C23751"/>
    <w:rsid w:val="00C24ED5"/>
    <w:rsid w:val="00C258FF"/>
    <w:rsid w:val="00C25F41"/>
    <w:rsid w:val="00C26D72"/>
    <w:rsid w:val="00C30C34"/>
    <w:rsid w:val="00C31186"/>
    <w:rsid w:val="00C31DE1"/>
    <w:rsid w:val="00C31F16"/>
    <w:rsid w:val="00C32387"/>
    <w:rsid w:val="00C33023"/>
    <w:rsid w:val="00C33423"/>
    <w:rsid w:val="00C3402F"/>
    <w:rsid w:val="00C34EB2"/>
    <w:rsid w:val="00C3685D"/>
    <w:rsid w:val="00C37551"/>
    <w:rsid w:val="00C37E57"/>
    <w:rsid w:val="00C40A52"/>
    <w:rsid w:val="00C40D6F"/>
    <w:rsid w:val="00C4155B"/>
    <w:rsid w:val="00C415E4"/>
    <w:rsid w:val="00C421B3"/>
    <w:rsid w:val="00C42967"/>
    <w:rsid w:val="00C42B3C"/>
    <w:rsid w:val="00C43089"/>
    <w:rsid w:val="00C43DC6"/>
    <w:rsid w:val="00C43F24"/>
    <w:rsid w:val="00C44B97"/>
    <w:rsid w:val="00C46B38"/>
    <w:rsid w:val="00C4737A"/>
    <w:rsid w:val="00C47400"/>
    <w:rsid w:val="00C5059D"/>
    <w:rsid w:val="00C51860"/>
    <w:rsid w:val="00C52006"/>
    <w:rsid w:val="00C52909"/>
    <w:rsid w:val="00C53101"/>
    <w:rsid w:val="00C5683E"/>
    <w:rsid w:val="00C57119"/>
    <w:rsid w:val="00C5748A"/>
    <w:rsid w:val="00C60135"/>
    <w:rsid w:val="00C60EEE"/>
    <w:rsid w:val="00C61A1F"/>
    <w:rsid w:val="00C62330"/>
    <w:rsid w:val="00C6250D"/>
    <w:rsid w:val="00C628A1"/>
    <w:rsid w:val="00C636A5"/>
    <w:rsid w:val="00C641B5"/>
    <w:rsid w:val="00C66722"/>
    <w:rsid w:val="00C66D5E"/>
    <w:rsid w:val="00C67163"/>
    <w:rsid w:val="00C674B4"/>
    <w:rsid w:val="00C675D8"/>
    <w:rsid w:val="00C67BBC"/>
    <w:rsid w:val="00C702BE"/>
    <w:rsid w:val="00C70C9C"/>
    <w:rsid w:val="00C72579"/>
    <w:rsid w:val="00C7318C"/>
    <w:rsid w:val="00C75448"/>
    <w:rsid w:val="00C75AFD"/>
    <w:rsid w:val="00C76E17"/>
    <w:rsid w:val="00C7721C"/>
    <w:rsid w:val="00C7770D"/>
    <w:rsid w:val="00C80E20"/>
    <w:rsid w:val="00C81C3D"/>
    <w:rsid w:val="00C83D53"/>
    <w:rsid w:val="00C85CD1"/>
    <w:rsid w:val="00C9070D"/>
    <w:rsid w:val="00C91E1A"/>
    <w:rsid w:val="00C92815"/>
    <w:rsid w:val="00C947D3"/>
    <w:rsid w:val="00CA13CB"/>
    <w:rsid w:val="00CA1774"/>
    <w:rsid w:val="00CA19CD"/>
    <w:rsid w:val="00CA3E4B"/>
    <w:rsid w:val="00CA3ECE"/>
    <w:rsid w:val="00CA55E9"/>
    <w:rsid w:val="00CA5662"/>
    <w:rsid w:val="00CA5B8E"/>
    <w:rsid w:val="00CA64F6"/>
    <w:rsid w:val="00CA72DD"/>
    <w:rsid w:val="00CA777C"/>
    <w:rsid w:val="00CB0A64"/>
    <w:rsid w:val="00CB3657"/>
    <w:rsid w:val="00CB3BBE"/>
    <w:rsid w:val="00CB6FED"/>
    <w:rsid w:val="00CB7A46"/>
    <w:rsid w:val="00CB7B1E"/>
    <w:rsid w:val="00CC0FA8"/>
    <w:rsid w:val="00CC2979"/>
    <w:rsid w:val="00CC2FBC"/>
    <w:rsid w:val="00CC3706"/>
    <w:rsid w:val="00CC497A"/>
    <w:rsid w:val="00CC50C7"/>
    <w:rsid w:val="00CC5510"/>
    <w:rsid w:val="00CC6322"/>
    <w:rsid w:val="00CC67D8"/>
    <w:rsid w:val="00CC71B7"/>
    <w:rsid w:val="00CC7378"/>
    <w:rsid w:val="00CD007B"/>
    <w:rsid w:val="00CD1045"/>
    <w:rsid w:val="00CD1A89"/>
    <w:rsid w:val="00CD3894"/>
    <w:rsid w:val="00CD405F"/>
    <w:rsid w:val="00CD41DC"/>
    <w:rsid w:val="00CD6722"/>
    <w:rsid w:val="00CD6BE6"/>
    <w:rsid w:val="00CE0598"/>
    <w:rsid w:val="00CE24AA"/>
    <w:rsid w:val="00CE33B4"/>
    <w:rsid w:val="00CE5537"/>
    <w:rsid w:val="00CE5699"/>
    <w:rsid w:val="00CE723B"/>
    <w:rsid w:val="00CE7733"/>
    <w:rsid w:val="00CE7947"/>
    <w:rsid w:val="00CE79AF"/>
    <w:rsid w:val="00CF0080"/>
    <w:rsid w:val="00CF0EDC"/>
    <w:rsid w:val="00CF1198"/>
    <w:rsid w:val="00CF17EB"/>
    <w:rsid w:val="00CF18F1"/>
    <w:rsid w:val="00CF264C"/>
    <w:rsid w:val="00CF36CF"/>
    <w:rsid w:val="00CF3B03"/>
    <w:rsid w:val="00CF4321"/>
    <w:rsid w:val="00CF47F6"/>
    <w:rsid w:val="00CF5302"/>
    <w:rsid w:val="00CF6095"/>
    <w:rsid w:val="00CF6688"/>
    <w:rsid w:val="00CF75AC"/>
    <w:rsid w:val="00D0004A"/>
    <w:rsid w:val="00D00D33"/>
    <w:rsid w:val="00D010F7"/>
    <w:rsid w:val="00D015EA"/>
    <w:rsid w:val="00D0171D"/>
    <w:rsid w:val="00D01F2B"/>
    <w:rsid w:val="00D025E8"/>
    <w:rsid w:val="00D07955"/>
    <w:rsid w:val="00D10079"/>
    <w:rsid w:val="00D11479"/>
    <w:rsid w:val="00D11714"/>
    <w:rsid w:val="00D143A8"/>
    <w:rsid w:val="00D14F41"/>
    <w:rsid w:val="00D15A4D"/>
    <w:rsid w:val="00D15AF3"/>
    <w:rsid w:val="00D16B5A"/>
    <w:rsid w:val="00D179CF"/>
    <w:rsid w:val="00D205B1"/>
    <w:rsid w:val="00D20EBC"/>
    <w:rsid w:val="00D217A7"/>
    <w:rsid w:val="00D227D0"/>
    <w:rsid w:val="00D22F68"/>
    <w:rsid w:val="00D23513"/>
    <w:rsid w:val="00D2377B"/>
    <w:rsid w:val="00D23826"/>
    <w:rsid w:val="00D23FBA"/>
    <w:rsid w:val="00D240FA"/>
    <w:rsid w:val="00D26267"/>
    <w:rsid w:val="00D26DAD"/>
    <w:rsid w:val="00D307B1"/>
    <w:rsid w:val="00D3126B"/>
    <w:rsid w:val="00D32352"/>
    <w:rsid w:val="00D326AB"/>
    <w:rsid w:val="00D329BE"/>
    <w:rsid w:val="00D32BCD"/>
    <w:rsid w:val="00D331C1"/>
    <w:rsid w:val="00D33F0F"/>
    <w:rsid w:val="00D34A7D"/>
    <w:rsid w:val="00D3744E"/>
    <w:rsid w:val="00D37C58"/>
    <w:rsid w:val="00D37D15"/>
    <w:rsid w:val="00D37E0C"/>
    <w:rsid w:val="00D40804"/>
    <w:rsid w:val="00D413AC"/>
    <w:rsid w:val="00D42161"/>
    <w:rsid w:val="00D42E86"/>
    <w:rsid w:val="00D441B2"/>
    <w:rsid w:val="00D45962"/>
    <w:rsid w:val="00D474FF"/>
    <w:rsid w:val="00D5237D"/>
    <w:rsid w:val="00D525E4"/>
    <w:rsid w:val="00D5395D"/>
    <w:rsid w:val="00D5483B"/>
    <w:rsid w:val="00D55679"/>
    <w:rsid w:val="00D5656A"/>
    <w:rsid w:val="00D56C6C"/>
    <w:rsid w:val="00D56DAC"/>
    <w:rsid w:val="00D5733D"/>
    <w:rsid w:val="00D60695"/>
    <w:rsid w:val="00D62032"/>
    <w:rsid w:val="00D635F4"/>
    <w:rsid w:val="00D65933"/>
    <w:rsid w:val="00D66189"/>
    <w:rsid w:val="00D661CE"/>
    <w:rsid w:val="00D6637F"/>
    <w:rsid w:val="00D6657A"/>
    <w:rsid w:val="00D70FF0"/>
    <w:rsid w:val="00D720C1"/>
    <w:rsid w:val="00D72CA8"/>
    <w:rsid w:val="00D73536"/>
    <w:rsid w:val="00D73648"/>
    <w:rsid w:val="00D73F0E"/>
    <w:rsid w:val="00D80162"/>
    <w:rsid w:val="00D8166C"/>
    <w:rsid w:val="00D81BD0"/>
    <w:rsid w:val="00D82319"/>
    <w:rsid w:val="00D83FBF"/>
    <w:rsid w:val="00D86B13"/>
    <w:rsid w:val="00D8773B"/>
    <w:rsid w:val="00D87A57"/>
    <w:rsid w:val="00D907CE"/>
    <w:rsid w:val="00D917DE"/>
    <w:rsid w:val="00D91CAC"/>
    <w:rsid w:val="00D91D0F"/>
    <w:rsid w:val="00D91F32"/>
    <w:rsid w:val="00D939BF"/>
    <w:rsid w:val="00D961BD"/>
    <w:rsid w:val="00D9684C"/>
    <w:rsid w:val="00D97015"/>
    <w:rsid w:val="00D97DE3"/>
    <w:rsid w:val="00DA175D"/>
    <w:rsid w:val="00DA1A94"/>
    <w:rsid w:val="00DA25A6"/>
    <w:rsid w:val="00DA25C8"/>
    <w:rsid w:val="00DA3CB4"/>
    <w:rsid w:val="00DA498B"/>
    <w:rsid w:val="00DA4BA7"/>
    <w:rsid w:val="00DA61B5"/>
    <w:rsid w:val="00DA6481"/>
    <w:rsid w:val="00DA6BEC"/>
    <w:rsid w:val="00DA6E70"/>
    <w:rsid w:val="00DB06B4"/>
    <w:rsid w:val="00DB0A4D"/>
    <w:rsid w:val="00DB16BF"/>
    <w:rsid w:val="00DB2913"/>
    <w:rsid w:val="00DB2C45"/>
    <w:rsid w:val="00DB3801"/>
    <w:rsid w:val="00DB617D"/>
    <w:rsid w:val="00DB676F"/>
    <w:rsid w:val="00DB76CD"/>
    <w:rsid w:val="00DB77EA"/>
    <w:rsid w:val="00DB78A4"/>
    <w:rsid w:val="00DC0743"/>
    <w:rsid w:val="00DC0934"/>
    <w:rsid w:val="00DC09A4"/>
    <w:rsid w:val="00DC0CD9"/>
    <w:rsid w:val="00DC1321"/>
    <w:rsid w:val="00DC1721"/>
    <w:rsid w:val="00DC207A"/>
    <w:rsid w:val="00DC2195"/>
    <w:rsid w:val="00DC3887"/>
    <w:rsid w:val="00DC521C"/>
    <w:rsid w:val="00DC54C8"/>
    <w:rsid w:val="00DC57DF"/>
    <w:rsid w:val="00DC718E"/>
    <w:rsid w:val="00DC7207"/>
    <w:rsid w:val="00DC72A0"/>
    <w:rsid w:val="00DD0AB3"/>
    <w:rsid w:val="00DD1127"/>
    <w:rsid w:val="00DD2DAE"/>
    <w:rsid w:val="00DD2EDD"/>
    <w:rsid w:val="00DD3DA4"/>
    <w:rsid w:val="00DD3EAF"/>
    <w:rsid w:val="00DD4BE7"/>
    <w:rsid w:val="00DD4CF0"/>
    <w:rsid w:val="00DD5566"/>
    <w:rsid w:val="00DE0B09"/>
    <w:rsid w:val="00DE0D6E"/>
    <w:rsid w:val="00DE129C"/>
    <w:rsid w:val="00DE1321"/>
    <w:rsid w:val="00DE4859"/>
    <w:rsid w:val="00DE4ED4"/>
    <w:rsid w:val="00DE5D49"/>
    <w:rsid w:val="00DE6486"/>
    <w:rsid w:val="00DE65B7"/>
    <w:rsid w:val="00DE6C9D"/>
    <w:rsid w:val="00DE7F1A"/>
    <w:rsid w:val="00DF1581"/>
    <w:rsid w:val="00DF1E90"/>
    <w:rsid w:val="00DF2705"/>
    <w:rsid w:val="00DF3477"/>
    <w:rsid w:val="00DF405E"/>
    <w:rsid w:val="00DF6102"/>
    <w:rsid w:val="00DF6CD9"/>
    <w:rsid w:val="00DF7274"/>
    <w:rsid w:val="00E006F8"/>
    <w:rsid w:val="00E009DC"/>
    <w:rsid w:val="00E014EE"/>
    <w:rsid w:val="00E024C9"/>
    <w:rsid w:val="00E02BB8"/>
    <w:rsid w:val="00E04086"/>
    <w:rsid w:val="00E04351"/>
    <w:rsid w:val="00E0473B"/>
    <w:rsid w:val="00E057DF"/>
    <w:rsid w:val="00E078D9"/>
    <w:rsid w:val="00E079A9"/>
    <w:rsid w:val="00E07BDB"/>
    <w:rsid w:val="00E10582"/>
    <w:rsid w:val="00E10A28"/>
    <w:rsid w:val="00E11819"/>
    <w:rsid w:val="00E11CD2"/>
    <w:rsid w:val="00E12009"/>
    <w:rsid w:val="00E162F1"/>
    <w:rsid w:val="00E16AB3"/>
    <w:rsid w:val="00E16FB4"/>
    <w:rsid w:val="00E173FC"/>
    <w:rsid w:val="00E20435"/>
    <w:rsid w:val="00E209F2"/>
    <w:rsid w:val="00E21184"/>
    <w:rsid w:val="00E21A2A"/>
    <w:rsid w:val="00E243A6"/>
    <w:rsid w:val="00E24A6A"/>
    <w:rsid w:val="00E24FB0"/>
    <w:rsid w:val="00E26E7B"/>
    <w:rsid w:val="00E27090"/>
    <w:rsid w:val="00E301CC"/>
    <w:rsid w:val="00E30DF3"/>
    <w:rsid w:val="00E31639"/>
    <w:rsid w:val="00E322F4"/>
    <w:rsid w:val="00E32E1B"/>
    <w:rsid w:val="00E32F03"/>
    <w:rsid w:val="00E332C7"/>
    <w:rsid w:val="00E33F28"/>
    <w:rsid w:val="00E349DD"/>
    <w:rsid w:val="00E359D2"/>
    <w:rsid w:val="00E35D9E"/>
    <w:rsid w:val="00E37084"/>
    <w:rsid w:val="00E37637"/>
    <w:rsid w:val="00E400E5"/>
    <w:rsid w:val="00E406E8"/>
    <w:rsid w:val="00E42735"/>
    <w:rsid w:val="00E43689"/>
    <w:rsid w:val="00E44BA2"/>
    <w:rsid w:val="00E45362"/>
    <w:rsid w:val="00E468CB"/>
    <w:rsid w:val="00E46A2A"/>
    <w:rsid w:val="00E46BF8"/>
    <w:rsid w:val="00E5084D"/>
    <w:rsid w:val="00E5098E"/>
    <w:rsid w:val="00E50ADE"/>
    <w:rsid w:val="00E51EC7"/>
    <w:rsid w:val="00E52032"/>
    <w:rsid w:val="00E52E2C"/>
    <w:rsid w:val="00E542E4"/>
    <w:rsid w:val="00E54CA4"/>
    <w:rsid w:val="00E552F3"/>
    <w:rsid w:val="00E560A8"/>
    <w:rsid w:val="00E563E3"/>
    <w:rsid w:val="00E56670"/>
    <w:rsid w:val="00E60B42"/>
    <w:rsid w:val="00E60F3F"/>
    <w:rsid w:val="00E61790"/>
    <w:rsid w:val="00E627D9"/>
    <w:rsid w:val="00E62FE2"/>
    <w:rsid w:val="00E653A6"/>
    <w:rsid w:val="00E6580A"/>
    <w:rsid w:val="00E66B20"/>
    <w:rsid w:val="00E67214"/>
    <w:rsid w:val="00E70261"/>
    <w:rsid w:val="00E705D7"/>
    <w:rsid w:val="00E70861"/>
    <w:rsid w:val="00E7102F"/>
    <w:rsid w:val="00E732FF"/>
    <w:rsid w:val="00E7369C"/>
    <w:rsid w:val="00E73DD9"/>
    <w:rsid w:val="00E73F4B"/>
    <w:rsid w:val="00E74333"/>
    <w:rsid w:val="00E750F3"/>
    <w:rsid w:val="00E7646B"/>
    <w:rsid w:val="00E76BD0"/>
    <w:rsid w:val="00E77C5F"/>
    <w:rsid w:val="00E804F3"/>
    <w:rsid w:val="00E8236B"/>
    <w:rsid w:val="00E82A4B"/>
    <w:rsid w:val="00E842A2"/>
    <w:rsid w:val="00E844B4"/>
    <w:rsid w:val="00E84677"/>
    <w:rsid w:val="00E86EA6"/>
    <w:rsid w:val="00E9184A"/>
    <w:rsid w:val="00E91FF7"/>
    <w:rsid w:val="00E932C1"/>
    <w:rsid w:val="00E93409"/>
    <w:rsid w:val="00E94012"/>
    <w:rsid w:val="00E94A28"/>
    <w:rsid w:val="00E952A7"/>
    <w:rsid w:val="00E97B36"/>
    <w:rsid w:val="00EA0103"/>
    <w:rsid w:val="00EA037B"/>
    <w:rsid w:val="00EA0738"/>
    <w:rsid w:val="00EA166E"/>
    <w:rsid w:val="00EA1E1F"/>
    <w:rsid w:val="00EA2534"/>
    <w:rsid w:val="00EA2651"/>
    <w:rsid w:val="00EA2B6C"/>
    <w:rsid w:val="00EA3FCE"/>
    <w:rsid w:val="00EA4657"/>
    <w:rsid w:val="00EA47C4"/>
    <w:rsid w:val="00EA4E63"/>
    <w:rsid w:val="00EA5B14"/>
    <w:rsid w:val="00EA658C"/>
    <w:rsid w:val="00EA6922"/>
    <w:rsid w:val="00EA7111"/>
    <w:rsid w:val="00EA7F46"/>
    <w:rsid w:val="00EB2CC4"/>
    <w:rsid w:val="00EB44F6"/>
    <w:rsid w:val="00EB52A1"/>
    <w:rsid w:val="00EB54C7"/>
    <w:rsid w:val="00EB60AF"/>
    <w:rsid w:val="00EB66B1"/>
    <w:rsid w:val="00EB6ACF"/>
    <w:rsid w:val="00EB7D7F"/>
    <w:rsid w:val="00EC0868"/>
    <w:rsid w:val="00EC142A"/>
    <w:rsid w:val="00EC29EF"/>
    <w:rsid w:val="00EC3D12"/>
    <w:rsid w:val="00EC50E3"/>
    <w:rsid w:val="00EC5C80"/>
    <w:rsid w:val="00EC5DAF"/>
    <w:rsid w:val="00EC66CB"/>
    <w:rsid w:val="00EC67A1"/>
    <w:rsid w:val="00EC78A9"/>
    <w:rsid w:val="00EC7A49"/>
    <w:rsid w:val="00ED0437"/>
    <w:rsid w:val="00ED1761"/>
    <w:rsid w:val="00ED1CE3"/>
    <w:rsid w:val="00ED3AFC"/>
    <w:rsid w:val="00ED40E0"/>
    <w:rsid w:val="00ED4377"/>
    <w:rsid w:val="00ED4CF4"/>
    <w:rsid w:val="00ED4F98"/>
    <w:rsid w:val="00ED6A68"/>
    <w:rsid w:val="00EE03DA"/>
    <w:rsid w:val="00EE0D44"/>
    <w:rsid w:val="00EE1590"/>
    <w:rsid w:val="00EE485B"/>
    <w:rsid w:val="00EE54C6"/>
    <w:rsid w:val="00EE7C57"/>
    <w:rsid w:val="00EF1D83"/>
    <w:rsid w:val="00EF306E"/>
    <w:rsid w:val="00EF34E8"/>
    <w:rsid w:val="00EF36EB"/>
    <w:rsid w:val="00EF3CB6"/>
    <w:rsid w:val="00EF4D69"/>
    <w:rsid w:val="00EF50C8"/>
    <w:rsid w:val="00EF59C6"/>
    <w:rsid w:val="00EF7731"/>
    <w:rsid w:val="00EF7F1E"/>
    <w:rsid w:val="00F0034B"/>
    <w:rsid w:val="00F014B5"/>
    <w:rsid w:val="00F02691"/>
    <w:rsid w:val="00F028F6"/>
    <w:rsid w:val="00F02942"/>
    <w:rsid w:val="00F03A9A"/>
    <w:rsid w:val="00F04502"/>
    <w:rsid w:val="00F05047"/>
    <w:rsid w:val="00F06936"/>
    <w:rsid w:val="00F07D22"/>
    <w:rsid w:val="00F112BC"/>
    <w:rsid w:val="00F11473"/>
    <w:rsid w:val="00F11785"/>
    <w:rsid w:val="00F12E87"/>
    <w:rsid w:val="00F13662"/>
    <w:rsid w:val="00F145AE"/>
    <w:rsid w:val="00F14E6B"/>
    <w:rsid w:val="00F15D41"/>
    <w:rsid w:val="00F16915"/>
    <w:rsid w:val="00F17C6F"/>
    <w:rsid w:val="00F17F41"/>
    <w:rsid w:val="00F23130"/>
    <w:rsid w:val="00F2321A"/>
    <w:rsid w:val="00F2491F"/>
    <w:rsid w:val="00F26C27"/>
    <w:rsid w:val="00F27D81"/>
    <w:rsid w:val="00F33F12"/>
    <w:rsid w:val="00F33FCD"/>
    <w:rsid w:val="00F340DC"/>
    <w:rsid w:val="00F344C5"/>
    <w:rsid w:val="00F34597"/>
    <w:rsid w:val="00F367F1"/>
    <w:rsid w:val="00F36979"/>
    <w:rsid w:val="00F37C2E"/>
    <w:rsid w:val="00F419B2"/>
    <w:rsid w:val="00F42CF1"/>
    <w:rsid w:val="00F449FC"/>
    <w:rsid w:val="00F44B60"/>
    <w:rsid w:val="00F44CD5"/>
    <w:rsid w:val="00F45890"/>
    <w:rsid w:val="00F46384"/>
    <w:rsid w:val="00F47C24"/>
    <w:rsid w:val="00F53836"/>
    <w:rsid w:val="00F54181"/>
    <w:rsid w:val="00F545ED"/>
    <w:rsid w:val="00F55B36"/>
    <w:rsid w:val="00F56209"/>
    <w:rsid w:val="00F56594"/>
    <w:rsid w:val="00F565F4"/>
    <w:rsid w:val="00F569B2"/>
    <w:rsid w:val="00F57F12"/>
    <w:rsid w:val="00F6127C"/>
    <w:rsid w:val="00F66967"/>
    <w:rsid w:val="00F669B1"/>
    <w:rsid w:val="00F6794F"/>
    <w:rsid w:val="00F701F8"/>
    <w:rsid w:val="00F70749"/>
    <w:rsid w:val="00F70B95"/>
    <w:rsid w:val="00F71316"/>
    <w:rsid w:val="00F71F1F"/>
    <w:rsid w:val="00F720CE"/>
    <w:rsid w:val="00F72339"/>
    <w:rsid w:val="00F72C55"/>
    <w:rsid w:val="00F7329A"/>
    <w:rsid w:val="00F734BD"/>
    <w:rsid w:val="00F7396C"/>
    <w:rsid w:val="00F7442E"/>
    <w:rsid w:val="00F755D5"/>
    <w:rsid w:val="00F77F21"/>
    <w:rsid w:val="00F80C79"/>
    <w:rsid w:val="00F81E2B"/>
    <w:rsid w:val="00F83E41"/>
    <w:rsid w:val="00F85573"/>
    <w:rsid w:val="00F90221"/>
    <w:rsid w:val="00F90497"/>
    <w:rsid w:val="00F938A0"/>
    <w:rsid w:val="00F93E24"/>
    <w:rsid w:val="00F941DA"/>
    <w:rsid w:val="00F941F9"/>
    <w:rsid w:val="00F9665B"/>
    <w:rsid w:val="00F96DC5"/>
    <w:rsid w:val="00F96E78"/>
    <w:rsid w:val="00FA0B89"/>
    <w:rsid w:val="00FA10DF"/>
    <w:rsid w:val="00FA1880"/>
    <w:rsid w:val="00FA1E06"/>
    <w:rsid w:val="00FA442E"/>
    <w:rsid w:val="00FA4F0F"/>
    <w:rsid w:val="00FA5238"/>
    <w:rsid w:val="00FA5654"/>
    <w:rsid w:val="00FA5809"/>
    <w:rsid w:val="00FA74F1"/>
    <w:rsid w:val="00FB0173"/>
    <w:rsid w:val="00FB0431"/>
    <w:rsid w:val="00FB0989"/>
    <w:rsid w:val="00FB1D8E"/>
    <w:rsid w:val="00FB2A1A"/>
    <w:rsid w:val="00FB5F8F"/>
    <w:rsid w:val="00FB652F"/>
    <w:rsid w:val="00FB7BF7"/>
    <w:rsid w:val="00FC1612"/>
    <w:rsid w:val="00FC43F3"/>
    <w:rsid w:val="00FC4B7D"/>
    <w:rsid w:val="00FC5809"/>
    <w:rsid w:val="00FC5944"/>
    <w:rsid w:val="00FC69CD"/>
    <w:rsid w:val="00FC72D2"/>
    <w:rsid w:val="00FD1947"/>
    <w:rsid w:val="00FD1B06"/>
    <w:rsid w:val="00FD4CE7"/>
    <w:rsid w:val="00FD5E43"/>
    <w:rsid w:val="00FE1876"/>
    <w:rsid w:val="00FE1B66"/>
    <w:rsid w:val="00FE2BBF"/>
    <w:rsid w:val="00FE3557"/>
    <w:rsid w:val="00FE399C"/>
    <w:rsid w:val="00FE423E"/>
    <w:rsid w:val="00FE54CA"/>
    <w:rsid w:val="00FE5555"/>
    <w:rsid w:val="00FE6B75"/>
    <w:rsid w:val="00FE6E4F"/>
    <w:rsid w:val="00FE764D"/>
    <w:rsid w:val="00FF08C2"/>
    <w:rsid w:val="00FF0B66"/>
    <w:rsid w:val="00FF0C96"/>
    <w:rsid w:val="00FF2D28"/>
    <w:rsid w:val="00FF324F"/>
    <w:rsid w:val="00FF666C"/>
    <w:rsid w:val="00FF67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873B006"/>
  <w15:docId w15:val="{980D2D30-96BF-4515-84A5-6B20BA31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F323E"/>
    <w:pPr>
      <w:spacing w:after="0" w:line="240" w:lineRule="auto"/>
    </w:pPr>
  </w:style>
  <w:style w:type="paragraph" w:styleId="Heading1">
    <w:name w:val="heading 1"/>
    <w:basedOn w:val="Normal"/>
    <w:next w:val="Normal"/>
    <w:link w:val="Heading1Char"/>
    <w:autoRedefine/>
    <w:uiPriority w:val="9"/>
    <w:qFormat/>
    <w:rsid w:val="00C641B5"/>
    <w:pPr>
      <w:keepNext/>
      <w:keepLines/>
      <w:pageBreakBefore/>
      <w:numPr>
        <w:numId w:val="20"/>
      </w:numPr>
      <w:ind w:left="567" w:hanging="567"/>
      <w:outlineLvl w:val="0"/>
    </w:pPr>
    <w:rPr>
      <w:rFonts w:eastAsiaTheme="majorEastAsia"/>
      <w:b/>
      <w:bCs/>
      <w:szCs w:val="28"/>
    </w:rPr>
  </w:style>
  <w:style w:type="paragraph" w:styleId="Heading2">
    <w:name w:val="heading 2"/>
    <w:basedOn w:val="Normal"/>
    <w:next w:val="Normal"/>
    <w:link w:val="Heading2Char"/>
    <w:autoRedefine/>
    <w:uiPriority w:val="9"/>
    <w:unhideWhenUsed/>
    <w:qFormat/>
    <w:rsid w:val="002E4CB9"/>
    <w:pPr>
      <w:keepNext/>
      <w:keepLines/>
      <w:numPr>
        <w:ilvl w:val="1"/>
        <w:numId w:val="20"/>
      </w:numPr>
      <w:outlineLvl w:val="1"/>
    </w:pPr>
    <w:rPr>
      <w:rFonts w:eastAsiaTheme="majorEastAsia"/>
      <w:b/>
      <w:bCs/>
      <w:szCs w:val="26"/>
    </w:rPr>
  </w:style>
  <w:style w:type="paragraph" w:styleId="Heading3">
    <w:name w:val="heading 3"/>
    <w:basedOn w:val="Normal"/>
    <w:next w:val="Normal"/>
    <w:link w:val="Heading3Char"/>
    <w:autoRedefine/>
    <w:uiPriority w:val="9"/>
    <w:unhideWhenUsed/>
    <w:qFormat/>
    <w:rsid w:val="009F1C55"/>
    <w:pPr>
      <w:keepNext/>
      <w:keepLines/>
      <w:numPr>
        <w:ilvl w:val="2"/>
        <w:numId w:val="20"/>
      </w:numPr>
      <w:outlineLvl w:val="2"/>
    </w:pPr>
    <w:rPr>
      <w:rFonts w:eastAsiaTheme="majorEastAsia"/>
      <w:b/>
      <w:bCs/>
    </w:rPr>
  </w:style>
  <w:style w:type="paragraph" w:styleId="Heading4">
    <w:name w:val="heading 4"/>
    <w:basedOn w:val="Normal"/>
    <w:next w:val="Normal"/>
    <w:link w:val="Heading4Char"/>
    <w:autoRedefine/>
    <w:uiPriority w:val="9"/>
    <w:unhideWhenUsed/>
    <w:rsid w:val="00EB66B1"/>
    <w:pPr>
      <w:keepNext/>
      <w:keepLines/>
      <w:numPr>
        <w:ilvl w:val="3"/>
        <w:numId w:val="20"/>
      </w:numPr>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rsid w:val="00273123"/>
    <w:pPr>
      <w:keepNext/>
      <w:keepLines/>
      <w:numPr>
        <w:ilvl w:val="4"/>
        <w:numId w:val="20"/>
      </w:numPr>
      <w:spacing w:before="240" w:after="120"/>
      <w:outlineLvl w:val="4"/>
    </w:pPr>
    <w:rPr>
      <w:rFonts w:eastAsiaTheme="majorEastAsia"/>
      <w:b/>
    </w:rPr>
  </w:style>
  <w:style w:type="paragraph" w:styleId="Heading6">
    <w:name w:val="heading 6"/>
    <w:basedOn w:val="Normal"/>
    <w:next w:val="Normal"/>
    <w:link w:val="Heading6Char"/>
    <w:uiPriority w:val="9"/>
    <w:unhideWhenUsed/>
    <w:rsid w:val="006F163E"/>
    <w:pPr>
      <w:keepNext/>
      <w:keepLines/>
      <w:numPr>
        <w:ilvl w:val="5"/>
        <w:numId w:val="20"/>
      </w:numPr>
      <w:spacing w:before="240" w:after="120"/>
      <w:outlineLvl w:val="5"/>
    </w:pPr>
    <w:rPr>
      <w:rFonts w:eastAsiaTheme="majorEastAsia"/>
      <w:b/>
      <w:iCs/>
    </w:rPr>
  </w:style>
  <w:style w:type="paragraph" w:styleId="Heading7">
    <w:name w:val="heading 7"/>
    <w:basedOn w:val="Normal"/>
    <w:next w:val="Normal"/>
    <w:link w:val="Heading7Char"/>
    <w:uiPriority w:val="9"/>
    <w:unhideWhenUsed/>
    <w:rsid w:val="006F163E"/>
    <w:pPr>
      <w:keepNext/>
      <w:keepLines/>
      <w:numPr>
        <w:ilvl w:val="6"/>
        <w:numId w:val="20"/>
      </w:numPr>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rsid w:val="006F163E"/>
    <w:pPr>
      <w:keepNext/>
      <w:keepLines/>
      <w:numPr>
        <w:ilvl w:val="7"/>
        <w:numId w:val="20"/>
      </w:numPr>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rsid w:val="006F163E"/>
    <w:pPr>
      <w:keepNext/>
      <w:keepLines/>
      <w:numPr>
        <w:ilvl w:val="8"/>
        <w:numId w:val="20"/>
      </w:numPr>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9B335F"/>
    <w:rPr>
      <w:b/>
      <w:bCs/>
      <w:sz w:val="20"/>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C641B5"/>
    <w:rPr>
      <w:rFonts w:eastAsiaTheme="majorEastAsia"/>
      <w:b/>
      <w:bCs/>
      <w:szCs w:val="28"/>
    </w:rPr>
  </w:style>
  <w:style w:type="character" w:customStyle="1" w:styleId="Heading2Char">
    <w:name w:val="Heading 2 Char"/>
    <w:basedOn w:val="DefaultParagraphFont"/>
    <w:link w:val="Heading2"/>
    <w:uiPriority w:val="9"/>
    <w:rsid w:val="002E4CB9"/>
    <w:rPr>
      <w:rFonts w:eastAsiaTheme="majorEastAsia"/>
      <w:b/>
      <w:bCs/>
      <w:szCs w:val="26"/>
    </w:rPr>
  </w:style>
  <w:style w:type="character" w:customStyle="1" w:styleId="Heading3Char">
    <w:name w:val="Heading 3 Char"/>
    <w:basedOn w:val="DefaultParagraphFont"/>
    <w:link w:val="Heading3"/>
    <w:uiPriority w:val="9"/>
    <w:rsid w:val="009F1C55"/>
    <w:rPr>
      <w:rFonts w:eastAsiaTheme="majorEastAsia"/>
      <w:b/>
      <w:bCs/>
    </w:rPr>
  </w:style>
  <w:style w:type="character" w:customStyle="1" w:styleId="Heading4Char">
    <w:name w:val="Heading 4 Char"/>
    <w:basedOn w:val="DefaultParagraphFont"/>
    <w:link w:val="Heading4"/>
    <w:uiPriority w:val="9"/>
    <w:rsid w:val="00EB66B1"/>
    <w:rPr>
      <w:rFonts w:eastAsiaTheme="majorEastAsia"/>
      <w:b/>
      <w:bCs/>
      <w:iCs/>
    </w:rPr>
  </w:style>
  <w:style w:type="character" w:customStyle="1" w:styleId="Heading5Char">
    <w:name w:val="Heading 5 Char"/>
    <w:basedOn w:val="DefaultParagraphFont"/>
    <w:link w:val="Heading5"/>
    <w:uiPriority w:val="9"/>
    <w:rsid w:val="00273123"/>
    <w:rPr>
      <w:rFonts w:eastAsiaTheme="majorEastAsia"/>
      <w:b/>
    </w:rPr>
  </w:style>
  <w:style w:type="character" w:customStyle="1" w:styleId="Heading6Char">
    <w:name w:val="Heading 6 Char"/>
    <w:basedOn w:val="DefaultParagraphFont"/>
    <w:link w:val="Heading6"/>
    <w:uiPriority w:val="9"/>
    <w:rsid w:val="006F163E"/>
    <w:rPr>
      <w:rFonts w:eastAsiaTheme="majorEastAsia"/>
      <w:b/>
      <w:iCs/>
    </w:rPr>
  </w:style>
  <w:style w:type="paragraph" w:styleId="Quote">
    <w:name w:val="Quote"/>
    <w:basedOn w:val="Normal"/>
    <w:next w:val="Normal"/>
    <w:link w:val="QuoteChar1"/>
    <w:uiPriority w:val="29"/>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rsid w:val="00416AA0"/>
    <w:rPr>
      <w:b/>
      <w:bCs/>
      <w:i/>
      <w:iCs/>
      <w:color w:val="auto"/>
    </w:rPr>
  </w:style>
  <w:style w:type="paragraph" w:styleId="IntenseQuote">
    <w:name w:val="Intense Quote"/>
    <w:basedOn w:val="Normal"/>
    <w:next w:val="Normal"/>
    <w:link w:val="IntenseQuoteChar"/>
    <w:uiPriority w:val="30"/>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rsid w:val="00B7564E"/>
    <w:rPr>
      <w:smallCaps/>
      <w:color w:val="auto"/>
      <w:u w:val="single"/>
    </w:rPr>
  </w:style>
  <w:style w:type="character" w:customStyle="1" w:styleId="Heading7Char">
    <w:name w:val="Heading 7 Char"/>
    <w:basedOn w:val="DefaultParagraphFont"/>
    <w:link w:val="Heading7"/>
    <w:uiPriority w:val="9"/>
    <w:rsid w:val="006F163E"/>
    <w:rPr>
      <w:rFonts w:eastAsiaTheme="majorEastAsia" w:cstheme="majorBidi"/>
      <w:b/>
      <w:i/>
      <w:iCs/>
    </w:rPr>
  </w:style>
  <w:style w:type="character" w:customStyle="1" w:styleId="Heading8Char">
    <w:name w:val="Heading 8 Char"/>
    <w:basedOn w:val="DefaultParagraphFont"/>
    <w:link w:val="Heading8"/>
    <w:uiPriority w:val="9"/>
    <w:rsid w:val="006F163E"/>
    <w:rPr>
      <w:rFonts w:eastAsiaTheme="majorEastAsia" w:cstheme="majorBidi"/>
      <w:szCs w:val="20"/>
    </w:rPr>
  </w:style>
  <w:style w:type="character" w:customStyle="1" w:styleId="Heading9Char">
    <w:name w:val="Heading 9 Char"/>
    <w:basedOn w:val="DefaultParagraphFont"/>
    <w:link w:val="Heading9"/>
    <w:uiPriority w:val="9"/>
    <w:rsid w:val="006F163E"/>
    <w:rPr>
      <w:rFonts w:eastAsiaTheme="majorEastAsia" w:cstheme="majorBidi"/>
      <w:i/>
      <w:iCs/>
      <w:szCs w:val="20"/>
    </w:rPr>
  </w:style>
  <w:style w:type="character" w:styleId="IntenseReference">
    <w:name w:val="Intense Reference"/>
    <w:basedOn w:val="DefaultParagraphFont"/>
    <w:uiPriority w:val="32"/>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unhideWhenUsed/>
    <w:rsid w:val="00890E90"/>
    <w:pPr>
      <w:spacing w:after="120"/>
    </w:pPr>
  </w:style>
  <w:style w:type="character" w:customStyle="1" w:styleId="BodyTextChar">
    <w:name w:val="Body Text Char"/>
    <w:basedOn w:val="DefaultParagraphFont"/>
    <w:link w:val="BodyText"/>
    <w:uiPriority w:val="99"/>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rsid w:val="00B3772F"/>
    <w:rPr>
      <w:i/>
      <w:iCs/>
    </w:rPr>
  </w:style>
  <w:style w:type="paragraph" w:styleId="EnvelopeReturn">
    <w:name w:val="envelope return"/>
    <w:basedOn w:val="Normal"/>
    <w:uiPriority w:val="99"/>
    <w:semiHidden/>
    <w:unhideWhenUsed/>
    <w:rsid w:val="00B3772F"/>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unhideWhenUsed/>
    <w:rsid w:val="00930117"/>
    <w:rPr>
      <w:rFonts w:cs="Times New Roman"/>
    </w:rPr>
  </w:style>
  <w:style w:type="paragraph" w:styleId="Index1">
    <w:name w:val="index 1"/>
    <w:basedOn w:val="Normal"/>
    <w:next w:val="Normal"/>
    <w:autoRedefine/>
    <w:uiPriority w:val="99"/>
    <w:semiHidden/>
    <w:unhideWhenUsed/>
    <w:rsid w:val="00873D7B"/>
    <w:pPr>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styleId="Header">
    <w:name w:val="header"/>
    <w:basedOn w:val="Normal"/>
    <w:link w:val="HeaderChar"/>
    <w:uiPriority w:val="99"/>
    <w:unhideWhenUsed/>
    <w:rsid w:val="00346FC5"/>
    <w:pPr>
      <w:tabs>
        <w:tab w:val="center" w:pos="4513"/>
        <w:tab w:val="right" w:pos="9026"/>
      </w:tabs>
    </w:pPr>
  </w:style>
  <w:style w:type="character" w:customStyle="1" w:styleId="HeaderChar">
    <w:name w:val="Header Char"/>
    <w:basedOn w:val="DefaultParagraphFont"/>
    <w:link w:val="Header"/>
    <w:uiPriority w:val="99"/>
    <w:rsid w:val="00346FC5"/>
  </w:style>
  <w:style w:type="paragraph" w:styleId="Footer">
    <w:name w:val="footer"/>
    <w:basedOn w:val="Normal"/>
    <w:link w:val="FooterChar"/>
    <w:uiPriority w:val="99"/>
    <w:unhideWhenUsed/>
    <w:rsid w:val="00346FC5"/>
    <w:pPr>
      <w:tabs>
        <w:tab w:val="center" w:pos="4513"/>
        <w:tab w:val="right" w:pos="9026"/>
      </w:tabs>
    </w:pPr>
  </w:style>
  <w:style w:type="character" w:customStyle="1" w:styleId="FooterChar">
    <w:name w:val="Footer Char"/>
    <w:basedOn w:val="DefaultParagraphFont"/>
    <w:link w:val="Footer"/>
    <w:uiPriority w:val="99"/>
    <w:rsid w:val="00346FC5"/>
  </w:style>
  <w:style w:type="table" w:styleId="TableGrid">
    <w:name w:val="Table Grid"/>
    <w:basedOn w:val="TableNormal"/>
    <w:uiPriority w:val="59"/>
    <w:rsid w:val="00346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6FC5"/>
    <w:rPr>
      <w:rFonts w:ascii="Tahoma" w:hAnsi="Tahoma" w:cs="Tahoma"/>
      <w:sz w:val="16"/>
      <w:szCs w:val="16"/>
    </w:rPr>
  </w:style>
  <w:style w:type="character" w:customStyle="1" w:styleId="BalloonTextChar">
    <w:name w:val="Balloon Text Char"/>
    <w:basedOn w:val="DefaultParagraphFont"/>
    <w:link w:val="BalloonText"/>
    <w:uiPriority w:val="99"/>
    <w:semiHidden/>
    <w:rsid w:val="00346FC5"/>
    <w:rPr>
      <w:rFonts w:ascii="Tahoma" w:hAnsi="Tahoma" w:cs="Tahoma"/>
      <w:sz w:val="16"/>
      <w:szCs w:val="16"/>
    </w:rPr>
  </w:style>
  <w:style w:type="character" w:styleId="CommentReference">
    <w:name w:val="annotation reference"/>
    <w:basedOn w:val="DefaultParagraphFont"/>
    <w:uiPriority w:val="99"/>
    <w:semiHidden/>
    <w:unhideWhenUsed/>
    <w:rsid w:val="00915E6B"/>
    <w:rPr>
      <w:sz w:val="16"/>
      <w:szCs w:val="16"/>
    </w:rPr>
  </w:style>
  <w:style w:type="paragraph" w:styleId="CommentText">
    <w:name w:val="annotation text"/>
    <w:basedOn w:val="Normal"/>
    <w:link w:val="CommentTextChar"/>
    <w:uiPriority w:val="99"/>
    <w:unhideWhenUsed/>
    <w:rsid w:val="00915E6B"/>
    <w:rPr>
      <w:sz w:val="20"/>
      <w:szCs w:val="20"/>
    </w:rPr>
  </w:style>
  <w:style w:type="character" w:customStyle="1" w:styleId="CommentTextChar">
    <w:name w:val="Comment Text Char"/>
    <w:basedOn w:val="DefaultParagraphFont"/>
    <w:link w:val="CommentText"/>
    <w:uiPriority w:val="99"/>
    <w:rsid w:val="00915E6B"/>
    <w:rPr>
      <w:sz w:val="20"/>
      <w:szCs w:val="20"/>
    </w:rPr>
  </w:style>
  <w:style w:type="paragraph" w:styleId="CommentSubject">
    <w:name w:val="annotation subject"/>
    <w:basedOn w:val="CommentText"/>
    <w:next w:val="CommentText"/>
    <w:link w:val="CommentSubjectChar"/>
    <w:uiPriority w:val="99"/>
    <w:semiHidden/>
    <w:unhideWhenUsed/>
    <w:rsid w:val="00915E6B"/>
    <w:rPr>
      <w:b/>
      <w:bCs/>
    </w:rPr>
  </w:style>
  <w:style w:type="character" w:customStyle="1" w:styleId="CommentSubjectChar">
    <w:name w:val="Comment Subject Char"/>
    <w:basedOn w:val="CommentTextChar"/>
    <w:link w:val="CommentSubject"/>
    <w:uiPriority w:val="99"/>
    <w:semiHidden/>
    <w:rsid w:val="00915E6B"/>
    <w:rPr>
      <w:b/>
      <w:bCs/>
      <w:sz w:val="20"/>
      <w:szCs w:val="20"/>
    </w:rPr>
  </w:style>
  <w:style w:type="character" w:styleId="Hyperlink">
    <w:name w:val="Hyperlink"/>
    <w:basedOn w:val="DefaultParagraphFont"/>
    <w:uiPriority w:val="99"/>
    <w:unhideWhenUsed/>
    <w:rsid w:val="0013277C"/>
    <w:rPr>
      <w:color w:val="0000FF" w:themeColor="hyperlink"/>
      <w:u w:val="single"/>
    </w:rPr>
  </w:style>
  <w:style w:type="paragraph" w:styleId="FootnoteText">
    <w:name w:val="footnote text"/>
    <w:basedOn w:val="Normal"/>
    <w:link w:val="FootnoteTextChar"/>
    <w:uiPriority w:val="99"/>
    <w:unhideWhenUsed/>
    <w:rsid w:val="0013277C"/>
    <w:rPr>
      <w:sz w:val="20"/>
      <w:szCs w:val="20"/>
    </w:rPr>
  </w:style>
  <w:style w:type="character" w:customStyle="1" w:styleId="FootnoteTextChar">
    <w:name w:val="Footnote Text Char"/>
    <w:basedOn w:val="DefaultParagraphFont"/>
    <w:link w:val="FootnoteText"/>
    <w:uiPriority w:val="99"/>
    <w:rsid w:val="0013277C"/>
    <w:rPr>
      <w:sz w:val="20"/>
      <w:szCs w:val="20"/>
    </w:rPr>
  </w:style>
  <w:style w:type="character" w:styleId="FootnoteReference">
    <w:name w:val="footnote reference"/>
    <w:basedOn w:val="DefaultParagraphFont"/>
    <w:uiPriority w:val="99"/>
    <w:unhideWhenUsed/>
    <w:rsid w:val="0013277C"/>
    <w:rPr>
      <w:vertAlign w:val="superscript"/>
    </w:rPr>
  </w:style>
  <w:style w:type="numbering" w:customStyle="1" w:styleId="Style1">
    <w:name w:val="Style1"/>
    <w:uiPriority w:val="99"/>
    <w:rsid w:val="00365193"/>
    <w:pPr>
      <w:numPr>
        <w:numId w:val="12"/>
      </w:numPr>
    </w:pPr>
  </w:style>
  <w:style w:type="character" w:styleId="FollowedHyperlink">
    <w:name w:val="FollowedHyperlink"/>
    <w:basedOn w:val="DefaultParagraphFont"/>
    <w:uiPriority w:val="99"/>
    <w:semiHidden/>
    <w:unhideWhenUsed/>
    <w:rsid w:val="000336BD"/>
    <w:rPr>
      <w:color w:val="800080" w:themeColor="followedHyperlink"/>
      <w:u w:val="single"/>
    </w:rPr>
  </w:style>
  <w:style w:type="character" w:styleId="EndnoteReference">
    <w:name w:val="endnote reference"/>
    <w:basedOn w:val="DefaultParagraphFont"/>
    <w:uiPriority w:val="99"/>
    <w:semiHidden/>
    <w:unhideWhenUsed/>
    <w:rsid w:val="00DC521C"/>
    <w:rPr>
      <w:vertAlign w:val="superscript"/>
    </w:rPr>
  </w:style>
  <w:style w:type="paragraph" w:styleId="Revision">
    <w:name w:val="Revision"/>
    <w:hidden/>
    <w:uiPriority w:val="99"/>
    <w:semiHidden/>
    <w:rsid w:val="00AA6745"/>
    <w:pPr>
      <w:spacing w:after="0" w:line="240" w:lineRule="auto"/>
    </w:pPr>
  </w:style>
  <w:style w:type="paragraph" w:styleId="TOC1">
    <w:name w:val="toc 1"/>
    <w:basedOn w:val="Normal"/>
    <w:next w:val="Normal"/>
    <w:autoRedefine/>
    <w:uiPriority w:val="39"/>
    <w:unhideWhenUsed/>
    <w:rsid w:val="00CB6FED"/>
    <w:pPr>
      <w:ind w:left="567" w:hanging="567"/>
    </w:pPr>
  </w:style>
  <w:style w:type="paragraph" w:styleId="TOC2">
    <w:name w:val="toc 2"/>
    <w:basedOn w:val="Normal"/>
    <w:next w:val="Normal"/>
    <w:autoRedefine/>
    <w:uiPriority w:val="39"/>
    <w:unhideWhenUsed/>
    <w:rsid w:val="00CB6FED"/>
    <w:pPr>
      <w:ind w:left="1134" w:hanging="567"/>
    </w:pPr>
  </w:style>
  <w:style w:type="paragraph" w:styleId="TOC3">
    <w:name w:val="toc 3"/>
    <w:basedOn w:val="Normal"/>
    <w:next w:val="Normal"/>
    <w:autoRedefine/>
    <w:uiPriority w:val="39"/>
    <w:unhideWhenUsed/>
    <w:rsid w:val="00CB6FED"/>
    <w:pPr>
      <w:ind w:left="1985" w:hanging="851"/>
    </w:pPr>
  </w:style>
  <w:style w:type="paragraph" w:customStyle="1" w:styleId="Un-numberedsubheading">
    <w:name w:val="Un-numbered subheading"/>
    <w:basedOn w:val="BodyText"/>
    <w:link w:val="Un-numberedsubheadingChar"/>
    <w:qFormat/>
    <w:rsid w:val="00FF0B66"/>
    <w:rPr>
      <w:b/>
    </w:rPr>
  </w:style>
  <w:style w:type="paragraph" w:customStyle="1" w:styleId="Sourcereference">
    <w:name w:val="Source reference"/>
    <w:basedOn w:val="Normal"/>
    <w:link w:val="SourcereferenceChar"/>
    <w:qFormat/>
    <w:rsid w:val="00EF3CB6"/>
    <w:pPr>
      <w:spacing w:after="120"/>
    </w:pPr>
    <w:rPr>
      <w:i/>
      <w:sz w:val="20"/>
    </w:rPr>
  </w:style>
  <w:style w:type="character" w:customStyle="1" w:styleId="Un-numberedsubheadingChar">
    <w:name w:val="Un-numbered subheading Char"/>
    <w:basedOn w:val="BodyTextChar"/>
    <w:link w:val="Un-numberedsubheading"/>
    <w:rsid w:val="00FF0B66"/>
    <w:rPr>
      <w:b/>
    </w:rPr>
  </w:style>
  <w:style w:type="character" w:customStyle="1" w:styleId="SourcereferenceChar">
    <w:name w:val="Source reference Char"/>
    <w:basedOn w:val="DefaultParagraphFont"/>
    <w:link w:val="Sourcereference"/>
    <w:rsid w:val="00EF3CB6"/>
    <w:rPr>
      <w:i/>
      <w:sz w:val="20"/>
    </w:rPr>
  </w:style>
  <w:style w:type="paragraph" w:styleId="ListParagraph">
    <w:name w:val="List Paragraph"/>
    <w:basedOn w:val="Normal"/>
    <w:uiPriority w:val="34"/>
    <w:qFormat/>
    <w:rsid w:val="00BC5855"/>
    <w:pPr>
      <w:ind w:left="720"/>
      <w:contextualSpacing/>
    </w:pPr>
  </w:style>
  <w:style w:type="table" w:customStyle="1" w:styleId="Tabellenraster1">
    <w:name w:val="Tabellenraster1"/>
    <w:basedOn w:val="TableNormal"/>
    <w:next w:val="TableGrid"/>
    <w:uiPriority w:val="59"/>
    <w:rsid w:val="003E592A"/>
    <w:pPr>
      <w:spacing w:after="0" w:line="240" w:lineRule="auto"/>
    </w:pPr>
    <w:rPr>
      <w:rFonts w:ascii="Calibri" w:hAnsi="Calibri" w:cs="Times New Roman"/>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329A"/>
    <w:pPr>
      <w:widowControl w:val="0"/>
      <w:autoSpaceDE w:val="0"/>
      <w:autoSpaceDN w:val="0"/>
      <w:adjustRightInd w:val="0"/>
      <w:spacing w:after="0" w:line="240" w:lineRule="auto"/>
    </w:pPr>
    <w:rPr>
      <w:rFonts w:ascii="Calibri" w:hAnsi="Calibri" w:cs="Calibri"/>
      <w:color w:val="000000"/>
      <w:lang w:val="de-DE"/>
    </w:rPr>
  </w:style>
  <w:style w:type="table" w:customStyle="1" w:styleId="TableGrid1">
    <w:name w:val="Table Grid1"/>
    <w:basedOn w:val="TableNormal"/>
    <w:next w:val="TableGrid"/>
    <w:uiPriority w:val="59"/>
    <w:rsid w:val="00BE2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519601">
      <w:bodyDiv w:val="1"/>
      <w:marLeft w:val="0"/>
      <w:marRight w:val="0"/>
      <w:marTop w:val="0"/>
      <w:marBottom w:val="0"/>
      <w:divBdr>
        <w:top w:val="none" w:sz="0" w:space="0" w:color="auto"/>
        <w:left w:val="none" w:sz="0" w:space="0" w:color="auto"/>
        <w:bottom w:val="none" w:sz="0" w:space="0" w:color="auto"/>
        <w:right w:val="none" w:sz="0" w:space="0" w:color="auto"/>
      </w:divBdr>
      <w:divsChild>
        <w:div w:id="1830706226">
          <w:marLeft w:val="0"/>
          <w:marRight w:val="0"/>
          <w:marTop w:val="0"/>
          <w:marBottom w:val="0"/>
          <w:divBdr>
            <w:top w:val="none" w:sz="0" w:space="0" w:color="auto"/>
            <w:left w:val="none" w:sz="0" w:space="0" w:color="auto"/>
            <w:bottom w:val="none" w:sz="0" w:space="0" w:color="auto"/>
            <w:right w:val="none" w:sz="0" w:space="0" w:color="auto"/>
          </w:divBdr>
          <w:divsChild>
            <w:div w:id="1944922351">
              <w:marLeft w:val="0"/>
              <w:marRight w:val="0"/>
              <w:marTop w:val="0"/>
              <w:marBottom w:val="0"/>
              <w:divBdr>
                <w:top w:val="none" w:sz="0" w:space="0" w:color="auto"/>
                <w:left w:val="none" w:sz="0" w:space="0" w:color="auto"/>
                <w:bottom w:val="none" w:sz="0" w:space="0" w:color="auto"/>
                <w:right w:val="none" w:sz="0" w:space="0" w:color="auto"/>
              </w:divBdr>
              <w:divsChild>
                <w:div w:id="63637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chart" Target="charts/chart1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10" Type="http://schemas.openxmlformats.org/officeDocument/2006/relationships/image" Target="media/image2.jpg"/><Relationship Id="rId19" Type="http://schemas.openxmlformats.org/officeDocument/2006/relationships/chart" Target="charts/chart8.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isability-europe.net/" TargetMode="Externa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dnet.at/elis/Arbeitsmarkt.aspx" TargetMode="External"/><Relationship Id="rId13" Type="http://schemas.openxmlformats.org/officeDocument/2006/relationships/hyperlink" Target="http://www.statistik.at/web_de/statistiken/menschen_und_gesellschaft/arbeitsmarkt/erwerbsstatus/index.html" TargetMode="External"/><Relationship Id="rId18" Type="http://schemas.openxmlformats.org/officeDocument/2006/relationships/hyperlink" Target="http://appsso.eurostat.ec.europa.eu/nui/show.do?dataset=hlth_de020&amp;lang=en" TargetMode="External"/><Relationship Id="rId26" Type="http://schemas.openxmlformats.org/officeDocument/2006/relationships/hyperlink" Target="http://www.armutsnetzwerk-ooe.at/mindestsicherung-ist-fuer-menschen-mit-behinderungen-zu-niedrig/%20" TargetMode="External"/><Relationship Id="rId39" Type="http://schemas.openxmlformats.org/officeDocument/2006/relationships/hyperlink" Target="http://bidok.uibk.ac.at/library/preuss_lausitz-weissbuch_oekonomie.html" TargetMode="External"/><Relationship Id="rId3" Type="http://schemas.openxmlformats.org/officeDocument/2006/relationships/hyperlink" Target="http://epp.eurostat.ec.europa.eu/statistics_explained/index.php/Glossary:Minimum_European_Health_Module_(MEHM)" TargetMode="External"/><Relationship Id="rId21" Type="http://schemas.openxmlformats.org/officeDocument/2006/relationships/hyperlink" Target="http://www.disability-europe.net/theme/comparative-data/reports-comparative-data%20" TargetMode="External"/><Relationship Id="rId34" Type="http://schemas.openxmlformats.org/officeDocument/2006/relationships/hyperlink" Target="http://www.dnet.at/elis/Tabellen/arbeitsmarkt/behinderte_jahr.pdf" TargetMode="External"/><Relationship Id="rId42" Type="http://schemas.openxmlformats.org/officeDocument/2006/relationships/hyperlink" Target="http://www.oerok.gv.at/" TargetMode="External"/><Relationship Id="rId7" Type="http://schemas.openxmlformats.org/officeDocument/2006/relationships/hyperlink" Target="http://www.dnet.at/elis/Arbeitsmarkt.aspx" TargetMode="External"/><Relationship Id="rId12" Type="http://schemas.openxmlformats.org/officeDocument/2006/relationships/hyperlink" Target="http://www.ams.at/_docs/001_JB-2015.pdf%20" TargetMode="External"/><Relationship Id="rId17" Type="http://schemas.openxmlformats.org/officeDocument/2006/relationships/hyperlink" Target="http://appsso.eurostat.ec.europa.eu/nui/show.do?dataset=hlth_de010&amp;lang=en" TargetMode="External"/><Relationship Id="rId25" Type="http://schemas.openxmlformats.org/officeDocument/2006/relationships/hyperlink" Target="http://www.armutskonferenz.at/news/news-2014/armut-in-oesterreich-keine-entspannung.html" TargetMode="External"/><Relationship Id="rId33" Type="http://schemas.openxmlformats.org/officeDocument/2006/relationships/hyperlink" Target="http://derstandard.at/2000026349174/Die-Rueckkehr-aus-der-Invaliditaet-gelingt-fast-nie" TargetMode="External"/><Relationship Id="rId38" Type="http://schemas.openxmlformats.org/officeDocument/2006/relationships/hyperlink" Target="https://kommunikationsradar.files.wordpress.com/2016/07/studienergebnisse_pilotprojekt_inklusion_q2_2016.pdf%20" TargetMode="External"/><Relationship Id="rId2" Type="http://schemas.openxmlformats.org/officeDocument/2006/relationships/hyperlink" Target="http://www.sozialministerium.at/cms/site/attachments/7/7/8/CH2477/CMS1332494355998/nap_behinderung-web_2013-01-30_eng.pdf" TargetMode="External"/><Relationship Id="rId16" Type="http://schemas.openxmlformats.org/officeDocument/2006/relationships/hyperlink" Target="https://www.parlament.gv.at/PAKT/VHG/XXV/AB/AB_05544/imfname_459955.pdf" TargetMode="External"/><Relationship Id="rId20" Type="http://schemas.openxmlformats.org/officeDocument/2006/relationships/hyperlink" Target="http://www.sozialministerium.at/cms/site/attachments/0/5/9/CH3141/CMS1415978600199/mikrozensusbericht_2007_statistik_austria.pdf%20" TargetMode="External"/><Relationship Id="rId29" Type="http://schemas.openxmlformats.org/officeDocument/2006/relationships/hyperlink" Target="http://www.ots.at/presseaussendung/OTS_20151217_OTS0019/armutskonferenz-sieben-punkte-zur-reform-der-mindestsicherung" TargetMode="External"/><Relationship Id="rId41" Type="http://schemas.openxmlformats.org/officeDocument/2006/relationships/hyperlink" Target="http://www.bundeskost.at/wp-content/uploads/2016/06/jahresbericht-jugendcoaching-2015.pdf" TargetMode="External"/><Relationship Id="rId1" Type="http://schemas.openxmlformats.org/officeDocument/2006/relationships/hyperlink" Target="http://ec.europa.eu/europe2020/pdf/targets_en.pdf" TargetMode="External"/><Relationship Id="rId6" Type="http://schemas.openxmlformats.org/officeDocument/2006/relationships/hyperlink" Target="http://www.dnet.at/elis/Arbeitsmarkt.aspx" TargetMode="External"/><Relationship Id="rId11" Type="http://schemas.openxmlformats.org/officeDocument/2006/relationships/hyperlink" Target="http://www.dnet.at/elis/Arbeitsmarkt.aspx" TargetMode="External"/><Relationship Id="rId24" Type="http://schemas.openxmlformats.org/officeDocument/2006/relationships/hyperlink" Target="http://www.fit2work.at" TargetMode="External"/><Relationship Id="rId32" Type="http://schemas.openxmlformats.org/officeDocument/2006/relationships/hyperlink" Target="https://www.parlament.gv.at/PAKT/VHG/XXV/I/I_00791/imfname_468785.pdf%20" TargetMode="External"/><Relationship Id="rId37" Type="http://schemas.openxmlformats.org/officeDocument/2006/relationships/hyperlink" Target="http://volksanwaltschaft.gv.at/downloads/8n2qb/PB39pr%C3%A4ventiv.pdf" TargetMode="External"/><Relationship Id="rId40" Type="http://schemas.openxmlformats.org/officeDocument/2006/relationships/hyperlink" Target="http://www.esf.at/esf/wp-content/uploads/ESF-OP-2014-2020.pdf" TargetMode="External"/><Relationship Id="rId45" Type="http://schemas.openxmlformats.org/officeDocument/2006/relationships/hyperlink" Target="http://volksanwaltschaft.gv.at/downloads/8n2qb/PB39pr%C3%A4ventiv.pdf" TargetMode="External"/><Relationship Id="rId5" Type="http://schemas.openxmlformats.org/officeDocument/2006/relationships/hyperlink" Target="https://www.arbeitundbehinderung.at/de/arbeitsmarktdaten/" TargetMode="External"/><Relationship Id="rId15" Type="http://schemas.openxmlformats.org/officeDocument/2006/relationships/hyperlink" Target="http://www.ris.bka.gv.at/Dokumente/BgblPdf/1970_22_0/1970_22_0.pdf" TargetMode="External"/><Relationship Id="rId23" Type="http://schemas.openxmlformats.org/officeDocument/2006/relationships/hyperlink" Target="https://www.sozialministerium.at/cms/site/attachments/2/0/8/CH3434/CMS1460623165106/tabellenband_eu-silc_2015.pdf" TargetMode="External"/><Relationship Id="rId28" Type="http://schemas.openxmlformats.org/officeDocument/2006/relationships/hyperlink" Target="http://www.armutskonferenz.at/news/news-2016/die-vergessenen-probleme-in-der-mindestsicherung.html" TargetMode="External"/><Relationship Id="rId36" Type="http://schemas.openxmlformats.org/officeDocument/2006/relationships/hyperlink" Target="http://www.behindertenanwalt.gv.at/fileadmin/user_upload/dokumente/Presseunterlage_Pressegespraech_28.2.2016.pdf" TargetMode="External"/><Relationship Id="rId10" Type="http://schemas.openxmlformats.org/officeDocument/2006/relationships/hyperlink" Target="http://www.dnet.at/elis/Arbeitsmarkt.aspx" TargetMode="External"/><Relationship Id="rId19" Type="http://schemas.openxmlformats.org/officeDocument/2006/relationships/hyperlink" Target="http://www.statistik.at/web_de/statistiken/menschen_und_gesellschaft/bildung_und_kultur/formales_bildungswesen/fruehe_schulabgaenger/index.html?ssSourceSiteId=null" TargetMode="External"/><Relationship Id="rId31" Type="http://schemas.openxmlformats.org/officeDocument/2006/relationships/hyperlink" Target="http://volksanwaltschaft.gv.at/downloads/816k/NGO%20Forum%202016_Protokoll%20WS%201.pdf" TargetMode="External"/><Relationship Id="rId44" Type="http://schemas.openxmlformats.org/officeDocument/2006/relationships/hyperlink" Target="http://docstore.ohchr.org/SelfServices/FilesHandler.ashx?enc=6QkG1d%2fPPRiCAqhKb7yhsnzSGolKOaUX8SsM2PfxU7s9lOchc%2bi0vJdc3TEt6JuQH6d6LwuOqunaiCbf0Z0e%2b%2fWMb4CH5VprCrZY%2bNACxgHsOlSRDSP7D6IYsa5kX3eM" TargetMode="External"/><Relationship Id="rId4" Type="http://schemas.openxmlformats.org/officeDocument/2006/relationships/hyperlink" Target="http://www.disability-europe.net/theme/statistical-indicators" TargetMode="External"/><Relationship Id="rId9" Type="http://schemas.openxmlformats.org/officeDocument/2006/relationships/hyperlink" Target="http://www.dnet.at/elis/Arbeitsmarkt.aspx" TargetMode="External"/><Relationship Id="rId14" Type="http://schemas.openxmlformats.org/officeDocument/2006/relationships/hyperlink" Target="https://www.sozialministerium.at/cms/site/attachments/3/3/7/CH2170/CMS1387266116632/tabellenband_eusilc_2014.pdf" TargetMode="External"/><Relationship Id="rId22" Type="http://schemas.openxmlformats.org/officeDocument/2006/relationships/hyperlink" Target="http://www.sozialerhebung.at/index.php/de/studierenden-sozialerhebung-2015-band-3-tabellenband" TargetMode="External"/><Relationship Id="rId27" Type="http://schemas.openxmlformats.org/officeDocument/2006/relationships/hyperlink" Target="https://www.ris.bka.gv.at/Dokument.wxe?Abfrage=Vfgh&amp;Dokumentnummer=JFT_20141126_14V00075_00" TargetMode="External"/><Relationship Id="rId30" Type="http://schemas.openxmlformats.org/officeDocument/2006/relationships/hyperlink" Target="http://www.behindertenarbeit.at/48527/tagung-ngo-forum-der-volksanwaltschaft/" TargetMode="External"/><Relationship Id="rId35" Type="http://schemas.openxmlformats.org/officeDocument/2006/relationships/hyperlink" Target="http://www.ihs.ac.at/fileadmin/public/media_corner/user_upload/Praesentation_IPensionen_Czypionka.pdf" TargetMode="External"/><Relationship Id="rId43" Type="http://schemas.openxmlformats.org/officeDocument/2006/relationships/hyperlink" Target="http://www.greencare-oe.at/content+2500+2433421%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8.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9.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0.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1.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2.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GB" sz="1600"/>
              <a:t>Prevalence of self-reported 'activity limitation'</a:t>
            </a:r>
          </a:p>
        </c:rich>
      </c:tx>
      <c:overlay val="0"/>
    </c:title>
    <c:autoTitleDeleted val="0"/>
    <c:plotArea>
      <c:layout/>
      <c:barChart>
        <c:barDir val="bar"/>
        <c:grouping val="clustered"/>
        <c:varyColors val="0"/>
        <c:ser>
          <c:idx val="0"/>
          <c:order val="0"/>
          <c:tx>
            <c:strRef>
              <c:f>Sheet1!$B$1</c:f>
              <c:strCache>
                <c:ptCount val="1"/>
                <c:pt idx="0">
                  <c:v>EU average</c:v>
                </c:pt>
              </c:strCache>
            </c:strRef>
          </c:tx>
          <c:invertIfNegative val="0"/>
          <c:cat>
            <c:strRef>
              <c:f>Sheet1!$A$2:$A$9</c:f>
              <c:strCache>
                <c:ptCount val="8"/>
                <c:pt idx="0">
                  <c:v>Not limited</c:v>
                </c:pt>
                <c:pt idx="1">
                  <c:v>Limited to some extent</c:v>
                </c:pt>
                <c:pt idx="2">
                  <c:v>Strongly limited</c:v>
                </c:pt>
                <c:pt idx="3">
                  <c:v>All 'limited'</c:v>
                </c:pt>
                <c:pt idx="4">
                  <c:v>Men</c:v>
                </c:pt>
                <c:pt idx="5">
                  <c:v>Women</c:v>
                </c:pt>
                <c:pt idx="6">
                  <c:v>Age 16-64</c:v>
                </c:pt>
                <c:pt idx="7">
                  <c:v>Age 65+</c:v>
                </c:pt>
              </c:strCache>
            </c:strRef>
          </c:cat>
          <c:val>
            <c:numRef>
              <c:f>Sheet1!$B$2:$B$9</c:f>
              <c:numCache>
                <c:formatCode>0.0</c:formatCode>
                <c:ptCount val="8"/>
                <c:pt idx="0">
                  <c:v>72.900000000000006</c:v>
                </c:pt>
                <c:pt idx="1">
                  <c:v>18.54</c:v>
                </c:pt>
                <c:pt idx="2">
                  <c:v>8.56</c:v>
                </c:pt>
                <c:pt idx="3">
                  <c:v>27.1</c:v>
                </c:pt>
                <c:pt idx="4">
                  <c:v>29.48</c:v>
                </c:pt>
                <c:pt idx="5">
                  <c:v>24.54</c:v>
                </c:pt>
                <c:pt idx="6">
                  <c:v>19.079999999999998</c:v>
                </c:pt>
                <c:pt idx="7">
                  <c:v>54.62</c:v>
                </c:pt>
              </c:numCache>
            </c:numRef>
          </c:val>
          <c:extLst>
            <c:ext xmlns:c16="http://schemas.microsoft.com/office/drawing/2014/chart" uri="{C3380CC4-5D6E-409C-BE32-E72D297353CC}">
              <c16:uniqueId val="{00000000-09E4-406A-8EB6-F59C52690EFE}"/>
            </c:ext>
          </c:extLst>
        </c:ser>
        <c:ser>
          <c:idx val="1"/>
          <c:order val="1"/>
          <c:tx>
            <c:strRef>
              <c:f>Sheet1!$C$1</c:f>
              <c:strCache>
                <c:ptCount val="1"/>
                <c:pt idx="0">
                  <c:v>National average</c:v>
                </c:pt>
              </c:strCache>
            </c:strRef>
          </c:tx>
          <c:invertIfNegative val="0"/>
          <c:cat>
            <c:strRef>
              <c:f>Sheet1!$A$2:$A$9</c:f>
              <c:strCache>
                <c:ptCount val="8"/>
                <c:pt idx="0">
                  <c:v>Not limited</c:v>
                </c:pt>
                <c:pt idx="1">
                  <c:v>Limited to some extent</c:v>
                </c:pt>
                <c:pt idx="2">
                  <c:v>Strongly limited</c:v>
                </c:pt>
                <c:pt idx="3">
                  <c:v>All 'limited'</c:v>
                </c:pt>
                <c:pt idx="4">
                  <c:v>Men</c:v>
                </c:pt>
                <c:pt idx="5">
                  <c:v>Women</c:v>
                </c:pt>
                <c:pt idx="6">
                  <c:v>Age 16-64</c:v>
                </c:pt>
                <c:pt idx="7">
                  <c:v>Age 65+</c:v>
                </c:pt>
              </c:strCache>
            </c:strRef>
          </c:cat>
          <c:val>
            <c:numRef>
              <c:f>Sheet1!$C$2:$C$9</c:f>
              <c:numCache>
                <c:formatCode>0.0</c:formatCode>
                <c:ptCount val="8"/>
                <c:pt idx="0">
                  <c:v>67.02</c:v>
                </c:pt>
                <c:pt idx="1">
                  <c:v>23.23</c:v>
                </c:pt>
                <c:pt idx="2">
                  <c:v>9.76</c:v>
                </c:pt>
                <c:pt idx="3">
                  <c:v>32.979999999999997</c:v>
                </c:pt>
                <c:pt idx="4">
                  <c:v>35</c:v>
                </c:pt>
                <c:pt idx="5">
                  <c:v>30.85</c:v>
                </c:pt>
                <c:pt idx="6">
                  <c:v>26.38</c:v>
                </c:pt>
                <c:pt idx="7">
                  <c:v>57.09</c:v>
                </c:pt>
              </c:numCache>
            </c:numRef>
          </c:val>
          <c:extLst>
            <c:ext xmlns:c16="http://schemas.microsoft.com/office/drawing/2014/chart" uri="{C3380CC4-5D6E-409C-BE32-E72D297353CC}">
              <c16:uniqueId val="{00000001-09E4-406A-8EB6-F59C52690EFE}"/>
            </c:ext>
          </c:extLst>
        </c:ser>
        <c:dLbls>
          <c:showLegendKey val="0"/>
          <c:showVal val="0"/>
          <c:showCatName val="0"/>
          <c:showSerName val="0"/>
          <c:showPercent val="0"/>
          <c:showBubbleSize val="0"/>
        </c:dLbls>
        <c:gapWidth val="150"/>
        <c:axId val="136905608"/>
        <c:axId val="136905216"/>
      </c:barChart>
      <c:catAx>
        <c:axId val="136905608"/>
        <c:scaling>
          <c:orientation val="maxMin"/>
        </c:scaling>
        <c:delete val="0"/>
        <c:axPos val="l"/>
        <c:numFmt formatCode="General" sourceLinked="1"/>
        <c:majorTickMark val="none"/>
        <c:minorTickMark val="none"/>
        <c:tickLblPos val="nextTo"/>
        <c:crossAx val="136905216"/>
        <c:crosses val="autoZero"/>
        <c:auto val="1"/>
        <c:lblAlgn val="ctr"/>
        <c:lblOffset val="100"/>
        <c:noMultiLvlLbl val="0"/>
      </c:catAx>
      <c:valAx>
        <c:axId val="136905216"/>
        <c:scaling>
          <c:orientation val="minMax"/>
        </c:scaling>
        <c:delete val="0"/>
        <c:axPos val="t"/>
        <c:majorGridlines/>
        <c:title>
          <c:tx>
            <c:rich>
              <a:bodyPr/>
              <a:lstStyle/>
              <a:p>
                <a:pPr>
                  <a:defRPr/>
                </a:pPr>
                <a:r>
                  <a:rPr lang="en-GB"/>
                  <a:t>%</a:t>
                </a:r>
              </a:p>
            </c:rich>
          </c:tx>
          <c:overlay val="0"/>
        </c:title>
        <c:numFmt formatCode="0.0" sourceLinked="1"/>
        <c:majorTickMark val="none"/>
        <c:minorTickMark val="none"/>
        <c:tickLblPos val="nextTo"/>
        <c:crossAx val="13690560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600"/>
              <a:t>Activity rates by age group</a:t>
            </a:r>
          </a:p>
        </c:rich>
      </c:tx>
      <c:layout>
        <c:manualLayout>
          <c:xMode val="edge"/>
          <c:yMode val="edge"/>
          <c:x val="0.232325054217735"/>
          <c:y val="1.9755497007424301E-2"/>
        </c:manualLayout>
      </c:layout>
      <c:overlay val="0"/>
    </c:title>
    <c:autoTitleDeleted val="0"/>
    <c:plotArea>
      <c:layout/>
      <c:lineChart>
        <c:grouping val="standard"/>
        <c:varyColors val="0"/>
        <c:ser>
          <c:idx val="0"/>
          <c:order val="0"/>
          <c:tx>
            <c:strRef>
              <c:f>Sheet1!$B$1</c:f>
              <c:strCache>
                <c:ptCount val="1"/>
                <c:pt idx="0">
                  <c:v>EU (disabled)</c:v>
                </c:pt>
              </c:strCache>
            </c:strRef>
          </c:tx>
          <c:cat>
            <c:strRef>
              <c:f>Sheet1!$A$2:$A$6</c:f>
              <c:strCache>
                <c:ptCount val="5"/>
                <c:pt idx="0">
                  <c:v>age 16-24</c:v>
                </c:pt>
                <c:pt idx="1">
                  <c:v>age 25-34</c:v>
                </c:pt>
                <c:pt idx="2">
                  <c:v>age 35-44</c:v>
                </c:pt>
                <c:pt idx="3">
                  <c:v>age 45-54</c:v>
                </c:pt>
                <c:pt idx="4">
                  <c:v>age 55-64</c:v>
                </c:pt>
              </c:strCache>
            </c:strRef>
          </c:cat>
          <c:val>
            <c:numRef>
              <c:f>Sheet1!$B$2:$B$6</c:f>
              <c:numCache>
                <c:formatCode>0.0</c:formatCode>
                <c:ptCount val="5"/>
                <c:pt idx="0">
                  <c:v>33.915787999999999</c:v>
                </c:pt>
                <c:pt idx="1">
                  <c:v>72.863039999999998</c:v>
                </c:pt>
                <c:pt idx="2">
                  <c:v>75.057336999999961</c:v>
                </c:pt>
                <c:pt idx="3">
                  <c:v>71.049019000000001</c:v>
                </c:pt>
                <c:pt idx="4">
                  <c:v>43.876176000000001</c:v>
                </c:pt>
              </c:numCache>
            </c:numRef>
          </c:val>
          <c:smooth val="0"/>
          <c:extLst>
            <c:ext xmlns:c16="http://schemas.microsoft.com/office/drawing/2014/chart" uri="{C3380CC4-5D6E-409C-BE32-E72D297353CC}">
              <c16:uniqueId val="{00000000-7695-49BB-9FAB-0DACCFB35C13}"/>
            </c:ext>
          </c:extLst>
        </c:ser>
        <c:ser>
          <c:idx val="1"/>
          <c:order val="1"/>
          <c:tx>
            <c:strRef>
              <c:f>Sheet1!$C$1</c:f>
              <c:strCache>
                <c:ptCount val="1"/>
                <c:pt idx="0">
                  <c:v>EU (non-disabled)</c:v>
                </c:pt>
              </c:strCache>
            </c:strRef>
          </c:tx>
          <c:cat>
            <c:strRef>
              <c:f>Sheet1!$A$2:$A$6</c:f>
              <c:strCache>
                <c:ptCount val="5"/>
                <c:pt idx="0">
                  <c:v>age 16-24</c:v>
                </c:pt>
                <c:pt idx="1">
                  <c:v>age 25-34</c:v>
                </c:pt>
                <c:pt idx="2">
                  <c:v>age 35-44</c:v>
                </c:pt>
                <c:pt idx="3">
                  <c:v>age 45-54</c:v>
                </c:pt>
                <c:pt idx="4">
                  <c:v>age 55-64</c:v>
                </c:pt>
              </c:strCache>
            </c:strRef>
          </c:cat>
          <c:val>
            <c:numRef>
              <c:f>Sheet1!$C$2:$C$6</c:f>
              <c:numCache>
                <c:formatCode>0.0</c:formatCode>
                <c:ptCount val="5"/>
                <c:pt idx="0">
                  <c:v>38.869980000000012</c:v>
                </c:pt>
                <c:pt idx="1">
                  <c:v>86.137696000000005</c:v>
                </c:pt>
                <c:pt idx="2">
                  <c:v>91.558593999999999</c:v>
                </c:pt>
                <c:pt idx="3">
                  <c:v>91.378046999999839</c:v>
                </c:pt>
                <c:pt idx="4">
                  <c:v>65.397775999999979</c:v>
                </c:pt>
              </c:numCache>
            </c:numRef>
          </c:val>
          <c:smooth val="0"/>
          <c:extLst>
            <c:ext xmlns:c16="http://schemas.microsoft.com/office/drawing/2014/chart" uri="{C3380CC4-5D6E-409C-BE32-E72D297353CC}">
              <c16:uniqueId val="{00000001-7695-49BB-9FAB-0DACCFB35C13}"/>
            </c:ext>
          </c:extLst>
        </c:ser>
        <c:ser>
          <c:idx val="2"/>
          <c:order val="2"/>
          <c:tx>
            <c:strRef>
              <c:f>Sheet1!$D$1</c:f>
              <c:strCache>
                <c:ptCount val="1"/>
                <c:pt idx="0">
                  <c:v>National (disabled)</c:v>
                </c:pt>
              </c:strCache>
            </c:strRef>
          </c:tx>
          <c:cat>
            <c:strRef>
              <c:f>Sheet1!$A$2:$A$6</c:f>
              <c:strCache>
                <c:ptCount val="5"/>
                <c:pt idx="0">
                  <c:v>age 16-24</c:v>
                </c:pt>
                <c:pt idx="1">
                  <c:v>age 25-34</c:v>
                </c:pt>
                <c:pt idx="2">
                  <c:v>age 35-44</c:v>
                </c:pt>
                <c:pt idx="3">
                  <c:v>age 45-54</c:v>
                </c:pt>
                <c:pt idx="4">
                  <c:v>age 55-64</c:v>
                </c:pt>
              </c:strCache>
            </c:strRef>
          </c:cat>
          <c:val>
            <c:numRef>
              <c:f>Sheet1!$D$2:$D$6</c:f>
              <c:numCache>
                <c:formatCode>0.0</c:formatCode>
                <c:ptCount val="5"/>
                <c:pt idx="0">
                  <c:v>60.243276000000002</c:v>
                </c:pt>
                <c:pt idx="1">
                  <c:v>74.404939999999996</c:v>
                </c:pt>
                <c:pt idx="2">
                  <c:v>85.25843799999987</c:v>
                </c:pt>
                <c:pt idx="3">
                  <c:v>79.035941999999963</c:v>
                </c:pt>
                <c:pt idx="4">
                  <c:v>38.697863000000012</c:v>
                </c:pt>
              </c:numCache>
            </c:numRef>
          </c:val>
          <c:smooth val="0"/>
          <c:extLst>
            <c:ext xmlns:c16="http://schemas.microsoft.com/office/drawing/2014/chart" uri="{C3380CC4-5D6E-409C-BE32-E72D297353CC}">
              <c16:uniqueId val="{00000002-7695-49BB-9FAB-0DACCFB35C13}"/>
            </c:ext>
          </c:extLst>
        </c:ser>
        <c:ser>
          <c:idx val="3"/>
          <c:order val="3"/>
          <c:tx>
            <c:strRef>
              <c:f>Sheet1!$E$1</c:f>
              <c:strCache>
                <c:ptCount val="1"/>
                <c:pt idx="0">
                  <c:v>National (non-disabled)</c:v>
                </c:pt>
              </c:strCache>
            </c:strRef>
          </c:tx>
          <c:cat>
            <c:strRef>
              <c:f>Sheet1!$A$2:$A$6</c:f>
              <c:strCache>
                <c:ptCount val="5"/>
                <c:pt idx="0">
                  <c:v>age 16-24</c:v>
                </c:pt>
                <c:pt idx="1">
                  <c:v>age 25-34</c:v>
                </c:pt>
                <c:pt idx="2">
                  <c:v>age 35-44</c:v>
                </c:pt>
                <c:pt idx="3">
                  <c:v>age 45-54</c:v>
                </c:pt>
                <c:pt idx="4">
                  <c:v>age 55-64</c:v>
                </c:pt>
              </c:strCache>
            </c:strRef>
          </c:cat>
          <c:val>
            <c:numRef>
              <c:f>Sheet1!$E$2:$E$6</c:f>
              <c:numCache>
                <c:formatCode>0.0</c:formatCode>
                <c:ptCount val="5"/>
                <c:pt idx="0">
                  <c:v>52.50188399999999</c:v>
                </c:pt>
                <c:pt idx="1">
                  <c:v>80.383961999999983</c:v>
                </c:pt>
                <c:pt idx="2">
                  <c:v>90.073684999999998</c:v>
                </c:pt>
                <c:pt idx="3">
                  <c:v>93.148477999999855</c:v>
                </c:pt>
                <c:pt idx="4">
                  <c:v>53.624143000000011</c:v>
                </c:pt>
              </c:numCache>
            </c:numRef>
          </c:val>
          <c:smooth val="0"/>
          <c:extLst>
            <c:ext xmlns:c16="http://schemas.microsoft.com/office/drawing/2014/chart" uri="{C3380CC4-5D6E-409C-BE32-E72D297353CC}">
              <c16:uniqueId val="{00000003-7695-49BB-9FAB-0DACCFB35C13}"/>
            </c:ext>
          </c:extLst>
        </c:ser>
        <c:dLbls>
          <c:showLegendKey val="0"/>
          <c:showVal val="0"/>
          <c:showCatName val="0"/>
          <c:showSerName val="0"/>
          <c:showPercent val="0"/>
          <c:showBubbleSize val="0"/>
        </c:dLbls>
        <c:marker val="1"/>
        <c:smooth val="0"/>
        <c:axId val="139753720"/>
        <c:axId val="139754112"/>
      </c:lineChart>
      <c:catAx>
        <c:axId val="139753720"/>
        <c:scaling>
          <c:orientation val="minMax"/>
        </c:scaling>
        <c:delete val="0"/>
        <c:axPos val="b"/>
        <c:numFmt formatCode="General" sourceLinked="1"/>
        <c:majorTickMark val="none"/>
        <c:minorTickMark val="none"/>
        <c:tickLblPos val="nextTo"/>
        <c:crossAx val="139754112"/>
        <c:crosses val="autoZero"/>
        <c:auto val="1"/>
        <c:lblAlgn val="ctr"/>
        <c:lblOffset val="100"/>
        <c:noMultiLvlLbl val="0"/>
      </c:catAx>
      <c:valAx>
        <c:axId val="139754112"/>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39753720"/>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600"/>
              <a:t>National</a:t>
            </a:r>
            <a:r>
              <a:rPr lang="en-GB" sz="1600" baseline="0"/>
              <a:t> t</a:t>
            </a:r>
            <a:r>
              <a:rPr lang="en-GB" sz="1600"/>
              <a:t>rends in economic activity rates</a:t>
            </a:r>
          </a:p>
        </c:rich>
      </c:tx>
      <c:overlay val="0"/>
    </c:title>
    <c:autoTitleDeleted val="0"/>
    <c:plotArea>
      <c:layout/>
      <c:lineChart>
        <c:grouping val="standard"/>
        <c:varyColors val="0"/>
        <c:ser>
          <c:idx val="0"/>
          <c:order val="0"/>
          <c:tx>
            <c:strRef>
              <c:f>Sheet1!$B$1</c:f>
              <c:strCache>
                <c:ptCount val="1"/>
                <c:pt idx="0">
                  <c:v>Disabled women</c:v>
                </c:pt>
              </c:strCache>
            </c:strRef>
          </c:tx>
          <c:cat>
            <c:numRef>
              <c:f>Sheet1!$A$2:$A$8</c:f>
              <c:numCache>
                <c:formatCode>General</c:formatCode>
                <c:ptCount val="7"/>
                <c:pt idx="0">
                  <c:v>2008</c:v>
                </c:pt>
                <c:pt idx="1">
                  <c:v>2009</c:v>
                </c:pt>
                <c:pt idx="2">
                  <c:v>2010</c:v>
                </c:pt>
                <c:pt idx="3">
                  <c:v>2011</c:v>
                </c:pt>
                <c:pt idx="4">
                  <c:v>2012</c:v>
                </c:pt>
                <c:pt idx="5">
                  <c:v>2013</c:v>
                </c:pt>
                <c:pt idx="6">
                  <c:v>2014</c:v>
                </c:pt>
              </c:numCache>
            </c:numRef>
          </c:cat>
          <c:val>
            <c:numRef>
              <c:f>Sheet1!$B$2:$B$8</c:f>
              <c:numCache>
                <c:formatCode>General</c:formatCode>
                <c:ptCount val="7"/>
                <c:pt idx="0">
                  <c:v>52</c:v>
                </c:pt>
                <c:pt idx="1">
                  <c:v>53.6</c:v>
                </c:pt>
                <c:pt idx="2">
                  <c:v>52.1</c:v>
                </c:pt>
                <c:pt idx="3">
                  <c:v>56.6</c:v>
                </c:pt>
                <c:pt idx="4">
                  <c:v>54.2</c:v>
                </c:pt>
                <c:pt idx="5">
                  <c:v>55.1</c:v>
                </c:pt>
                <c:pt idx="6" formatCode="0.0">
                  <c:v>62.07</c:v>
                </c:pt>
              </c:numCache>
            </c:numRef>
          </c:val>
          <c:smooth val="0"/>
          <c:extLst>
            <c:ext xmlns:c16="http://schemas.microsoft.com/office/drawing/2014/chart" uri="{C3380CC4-5D6E-409C-BE32-E72D297353CC}">
              <c16:uniqueId val="{00000000-1630-4A5E-9814-EC14151C6604}"/>
            </c:ext>
          </c:extLst>
        </c:ser>
        <c:ser>
          <c:idx val="1"/>
          <c:order val="1"/>
          <c:tx>
            <c:strRef>
              <c:f>Sheet1!$C$1</c:f>
              <c:strCache>
                <c:ptCount val="1"/>
                <c:pt idx="0">
                  <c:v>Disabled men</c:v>
                </c:pt>
              </c:strCache>
            </c:strRef>
          </c:tx>
          <c:cat>
            <c:numRef>
              <c:f>Sheet1!$A$2:$A$8</c:f>
              <c:numCache>
                <c:formatCode>General</c:formatCode>
                <c:ptCount val="7"/>
                <c:pt idx="0">
                  <c:v>2008</c:v>
                </c:pt>
                <c:pt idx="1">
                  <c:v>2009</c:v>
                </c:pt>
                <c:pt idx="2">
                  <c:v>2010</c:v>
                </c:pt>
                <c:pt idx="3">
                  <c:v>2011</c:v>
                </c:pt>
                <c:pt idx="4">
                  <c:v>2012</c:v>
                </c:pt>
                <c:pt idx="5">
                  <c:v>2013</c:v>
                </c:pt>
                <c:pt idx="6">
                  <c:v>2014</c:v>
                </c:pt>
              </c:numCache>
            </c:numRef>
          </c:cat>
          <c:val>
            <c:numRef>
              <c:f>Sheet1!$C$2:$C$8</c:f>
              <c:numCache>
                <c:formatCode>General</c:formatCode>
                <c:ptCount val="7"/>
                <c:pt idx="0">
                  <c:v>67.3</c:v>
                </c:pt>
                <c:pt idx="1">
                  <c:v>65.900000000000006</c:v>
                </c:pt>
                <c:pt idx="2">
                  <c:v>66.900000000000006</c:v>
                </c:pt>
                <c:pt idx="3">
                  <c:v>69.099999999999994</c:v>
                </c:pt>
                <c:pt idx="4">
                  <c:v>66.099999999999994</c:v>
                </c:pt>
                <c:pt idx="5">
                  <c:v>65.8</c:v>
                </c:pt>
                <c:pt idx="6" formatCode="0.0">
                  <c:v>71.150000000000006</c:v>
                </c:pt>
              </c:numCache>
            </c:numRef>
          </c:val>
          <c:smooth val="0"/>
          <c:extLst>
            <c:ext xmlns:c16="http://schemas.microsoft.com/office/drawing/2014/chart" uri="{C3380CC4-5D6E-409C-BE32-E72D297353CC}">
              <c16:uniqueId val="{00000001-1630-4A5E-9814-EC14151C6604}"/>
            </c:ext>
          </c:extLst>
        </c:ser>
        <c:ser>
          <c:idx val="2"/>
          <c:order val="2"/>
          <c:tx>
            <c:strRef>
              <c:f>Sheet1!$D$1</c:f>
              <c:strCache>
                <c:ptCount val="1"/>
                <c:pt idx="0">
                  <c:v>Non-disabled women</c:v>
                </c:pt>
              </c:strCache>
            </c:strRef>
          </c:tx>
          <c:cat>
            <c:numRef>
              <c:f>Sheet1!$A$2:$A$8</c:f>
              <c:numCache>
                <c:formatCode>General</c:formatCode>
                <c:ptCount val="7"/>
                <c:pt idx="0">
                  <c:v>2008</c:v>
                </c:pt>
                <c:pt idx="1">
                  <c:v>2009</c:v>
                </c:pt>
                <c:pt idx="2">
                  <c:v>2010</c:v>
                </c:pt>
                <c:pt idx="3">
                  <c:v>2011</c:v>
                </c:pt>
                <c:pt idx="4">
                  <c:v>2012</c:v>
                </c:pt>
                <c:pt idx="5">
                  <c:v>2013</c:v>
                </c:pt>
                <c:pt idx="6">
                  <c:v>2014</c:v>
                </c:pt>
              </c:numCache>
            </c:numRef>
          </c:cat>
          <c:val>
            <c:numRef>
              <c:f>Sheet1!$D$2:$D$8</c:f>
              <c:numCache>
                <c:formatCode>General</c:formatCode>
                <c:ptCount val="7"/>
                <c:pt idx="0">
                  <c:v>67.3</c:v>
                </c:pt>
                <c:pt idx="1">
                  <c:v>69.3</c:v>
                </c:pt>
                <c:pt idx="2">
                  <c:v>68.400000000000006</c:v>
                </c:pt>
                <c:pt idx="3">
                  <c:v>69</c:v>
                </c:pt>
                <c:pt idx="4">
                  <c:v>69.8</c:v>
                </c:pt>
                <c:pt idx="5">
                  <c:v>70.400000000000006</c:v>
                </c:pt>
                <c:pt idx="6" formatCode="0.0">
                  <c:v>69.92</c:v>
                </c:pt>
              </c:numCache>
            </c:numRef>
          </c:val>
          <c:smooth val="0"/>
          <c:extLst>
            <c:ext xmlns:c16="http://schemas.microsoft.com/office/drawing/2014/chart" uri="{C3380CC4-5D6E-409C-BE32-E72D297353CC}">
              <c16:uniqueId val="{00000002-1630-4A5E-9814-EC14151C6604}"/>
            </c:ext>
          </c:extLst>
        </c:ser>
        <c:ser>
          <c:idx val="3"/>
          <c:order val="3"/>
          <c:tx>
            <c:strRef>
              <c:f>Sheet1!$E$1</c:f>
              <c:strCache>
                <c:ptCount val="1"/>
                <c:pt idx="0">
                  <c:v>Non-disabled men</c:v>
                </c:pt>
              </c:strCache>
            </c:strRef>
          </c:tx>
          <c:cat>
            <c:numRef>
              <c:f>Sheet1!$A$2:$A$8</c:f>
              <c:numCache>
                <c:formatCode>General</c:formatCode>
                <c:ptCount val="7"/>
                <c:pt idx="0">
                  <c:v>2008</c:v>
                </c:pt>
                <c:pt idx="1">
                  <c:v>2009</c:v>
                </c:pt>
                <c:pt idx="2">
                  <c:v>2010</c:v>
                </c:pt>
                <c:pt idx="3">
                  <c:v>2011</c:v>
                </c:pt>
                <c:pt idx="4">
                  <c:v>2012</c:v>
                </c:pt>
                <c:pt idx="5">
                  <c:v>2013</c:v>
                </c:pt>
                <c:pt idx="6">
                  <c:v>2014</c:v>
                </c:pt>
              </c:numCache>
            </c:numRef>
          </c:cat>
          <c:val>
            <c:numRef>
              <c:f>Sheet1!$E$2:$E$8</c:f>
              <c:numCache>
                <c:formatCode>General</c:formatCode>
                <c:ptCount val="7"/>
                <c:pt idx="0">
                  <c:v>87.7</c:v>
                </c:pt>
                <c:pt idx="1">
                  <c:v>87.1</c:v>
                </c:pt>
                <c:pt idx="2">
                  <c:v>86.9</c:v>
                </c:pt>
                <c:pt idx="3">
                  <c:v>87.6</c:v>
                </c:pt>
                <c:pt idx="4">
                  <c:v>87.9</c:v>
                </c:pt>
                <c:pt idx="5">
                  <c:v>87.7</c:v>
                </c:pt>
                <c:pt idx="6" formatCode="0.0">
                  <c:v>87.54</c:v>
                </c:pt>
              </c:numCache>
            </c:numRef>
          </c:val>
          <c:smooth val="0"/>
          <c:extLst>
            <c:ext xmlns:c16="http://schemas.microsoft.com/office/drawing/2014/chart" uri="{C3380CC4-5D6E-409C-BE32-E72D297353CC}">
              <c16:uniqueId val="{00000003-1630-4A5E-9814-EC14151C6604}"/>
            </c:ext>
          </c:extLst>
        </c:ser>
        <c:ser>
          <c:idx val="4"/>
          <c:order val="4"/>
          <c:tx>
            <c:strRef>
              <c:f>Sheet1!$F$1</c:f>
              <c:strCache>
                <c:ptCount val="1"/>
                <c:pt idx="0">
                  <c:v>EU average (all)</c:v>
                </c:pt>
              </c:strCache>
            </c:strRef>
          </c:tx>
          <c:cat>
            <c:numRef>
              <c:f>Sheet1!$A$2:$A$8</c:f>
              <c:numCache>
                <c:formatCode>General</c:formatCode>
                <c:ptCount val="7"/>
                <c:pt idx="0">
                  <c:v>2008</c:v>
                </c:pt>
                <c:pt idx="1">
                  <c:v>2009</c:v>
                </c:pt>
                <c:pt idx="2">
                  <c:v>2010</c:v>
                </c:pt>
                <c:pt idx="3">
                  <c:v>2011</c:v>
                </c:pt>
                <c:pt idx="4">
                  <c:v>2012</c:v>
                </c:pt>
                <c:pt idx="5">
                  <c:v>2013</c:v>
                </c:pt>
                <c:pt idx="6">
                  <c:v>2014</c:v>
                </c:pt>
              </c:numCache>
            </c:numRef>
          </c:cat>
          <c:val>
            <c:numRef>
              <c:f>Sheet1!$F$2:$F$8</c:f>
              <c:numCache>
                <c:formatCode>General</c:formatCode>
                <c:ptCount val="7"/>
                <c:pt idx="0">
                  <c:v>75</c:v>
                </c:pt>
                <c:pt idx="1">
                  <c:v>75.3</c:v>
                </c:pt>
                <c:pt idx="2">
                  <c:v>75.400000000000006</c:v>
                </c:pt>
                <c:pt idx="3">
                  <c:v>75.8</c:v>
                </c:pt>
                <c:pt idx="4">
                  <c:v>76.3</c:v>
                </c:pt>
                <c:pt idx="5">
                  <c:v>76.8</c:v>
                </c:pt>
                <c:pt idx="6" formatCode="0.0">
                  <c:v>77.5</c:v>
                </c:pt>
              </c:numCache>
            </c:numRef>
          </c:val>
          <c:smooth val="0"/>
          <c:extLst>
            <c:ext xmlns:c16="http://schemas.microsoft.com/office/drawing/2014/chart" uri="{C3380CC4-5D6E-409C-BE32-E72D297353CC}">
              <c16:uniqueId val="{00000004-1630-4A5E-9814-EC14151C6604}"/>
            </c:ext>
          </c:extLst>
        </c:ser>
        <c:dLbls>
          <c:showLegendKey val="0"/>
          <c:showVal val="0"/>
          <c:showCatName val="0"/>
          <c:showSerName val="0"/>
          <c:showPercent val="0"/>
          <c:showBubbleSize val="0"/>
        </c:dLbls>
        <c:marker val="1"/>
        <c:smooth val="0"/>
        <c:axId val="140157296"/>
        <c:axId val="140157688"/>
      </c:lineChart>
      <c:catAx>
        <c:axId val="140157296"/>
        <c:scaling>
          <c:orientation val="minMax"/>
        </c:scaling>
        <c:delete val="0"/>
        <c:axPos val="b"/>
        <c:numFmt formatCode="General" sourceLinked="1"/>
        <c:majorTickMark val="none"/>
        <c:minorTickMark val="none"/>
        <c:tickLblPos val="nextTo"/>
        <c:crossAx val="140157688"/>
        <c:crosses val="autoZero"/>
        <c:auto val="1"/>
        <c:lblAlgn val="ctr"/>
        <c:lblOffset val="100"/>
        <c:noMultiLvlLbl val="0"/>
      </c:catAx>
      <c:valAx>
        <c:axId val="140157688"/>
        <c:scaling>
          <c:orientation val="minMax"/>
        </c:scaling>
        <c:delete val="0"/>
        <c:axPos val="l"/>
        <c:majorGridlines/>
        <c:title>
          <c:tx>
            <c:rich>
              <a:bodyPr/>
              <a:lstStyle/>
              <a:p>
                <a:pPr>
                  <a:defRPr/>
                </a:pPr>
                <a:r>
                  <a:rPr lang="en-GB"/>
                  <a:t>%</a:t>
                </a:r>
              </a:p>
            </c:rich>
          </c:tx>
          <c:overlay val="0"/>
        </c:title>
        <c:numFmt formatCode="General" sourceLinked="1"/>
        <c:majorTickMark val="none"/>
        <c:minorTickMark val="none"/>
        <c:tickLblPos val="nextTo"/>
        <c:crossAx val="140157296"/>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GB"/>
              <a:t>Early school leavers</a:t>
            </a:r>
          </a:p>
        </c:rich>
      </c:tx>
      <c:overlay val="0"/>
    </c:title>
    <c:autoTitleDeleted val="0"/>
    <c:plotArea>
      <c:layout/>
      <c:barChart>
        <c:barDir val="col"/>
        <c:grouping val="clustered"/>
        <c:varyColors val="0"/>
        <c:ser>
          <c:idx val="0"/>
          <c:order val="0"/>
          <c:tx>
            <c:strRef>
              <c:f>Sheet1!$B$1</c:f>
              <c:strCache>
                <c:ptCount val="1"/>
                <c:pt idx="0">
                  <c:v>EU28 average</c:v>
                </c:pt>
              </c:strCache>
            </c:strRef>
          </c:tx>
          <c:invertIfNegative val="0"/>
          <c:cat>
            <c:strRef>
              <c:f>Sheet1!$A$2:$A$5</c:f>
              <c:strCache>
                <c:ptCount val="4"/>
                <c:pt idx="0">
                  <c:v>Disabled young people (18-24)</c:v>
                </c:pt>
                <c:pt idx="1">
                  <c:v>Non-disabled (18-24)</c:v>
                </c:pt>
                <c:pt idx="2">
                  <c:v>Disabled young people (18-29)</c:v>
                </c:pt>
                <c:pt idx="3">
                  <c:v>Non-disabled (18-29)</c:v>
                </c:pt>
              </c:strCache>
            </c:strRef>
          </c:cat>
          <c:val>
            <c:numRef>
              <c:f>Sheet1!$B$2:$B$5</c:f>
              <c:numCache>
                <c:formatCode>0.0</c:formatCode>
                <c:ptCount val="4"/>
                <c:pt idx="0">
                  <c:v>19.41</c:v>
                </c:pt>
                <c:pt idx="1">
                  <c:v>8</c:v>
                </c:pt>
                <c:pt idx="2">
                  <c:v>18.5</c:v>
                </c:pt>
                <c:pt idx="3">
                  <c:v>8.42</c:v>
                </c:pt>
              </c:numCache>
            </c:numRef>
          </c:val>
          <c:extLst>
            <c:ext xmlns:c16="http://schemas.microsoft.com/office/drawing/2014/chart" uri="{C3380CC4-5D6E-409C-BE32-E72D297353CC}">
              <c16:uniqueId val="{00000000-C5F2-4FFF-920B-CA185A2B2E6C}"/>
            </c:ext>
          </c:extLst>
        </c:ser>
        <c:ser>
          <c:idx val="1"/>
          <c:order val="1"/>
          <c:tx>
            <c:strRef>
              <c:f>Sheet1!$C$1</c:f>
              <c:strCache>
                <c:ptCount val="1"/>
                <c:pt idx="0">
                  <c:v>National average</c:v>
                </c:pt>
              </c:strCache>
            </c:strRef>
          </c:tx>
          <c:invertIfNegative val="0"/>
          <c:cat>
            <c:strRef>
              <c:f>Sheet1!$A$2:$A$5</c:f>
              <c:strCache>
                <c:ptCount val="4"/>
                <c:pt idx="0">
                  <c:v>Disabled young people (18-24)</c:v>
                </c:pt>
                <c:pt idx="1">
                  <c:v>Non-disabled (18-24)</c:v>
                </c:pt>
                <c:pt idx="2">
                  <c:v>Disabled young people (18-29)</c:v>
                </c:pt>
                <c:pt idx="3">
                  <c:v>Non-disabled (18-29)</c:v>
                </c:pt>
              </c:strCache>
            </c:strRef>
          </c:cat>
          <c:val>
            <c:numRef>
              <c:f>Sheet1!$C$2:$C$5</c:f>
              <c:numCache>
                <c:formatCode>0.0</c:formatCode>
                <c:ptCount val="4"/>
                <c:pt idx="0">
                  <c:v>22.52</c:v>
                </c:pt>
                <c:pt idx="1">
                  <c:v>11.24</c:v>
                </c:pt>
                <c:pt idx="2">
                  <c:v>23.9</c:v>
                </c:pt>
                <c:pt idx="3">
                  <c:v>12.35</c:v>
                </c:pt>
              </c:numCache>
            </c:numRef>
          </c:val>
          <c:extLst>
            <c:ext xmlns:c16="http://schemas.microsoft.com/office/drawing/2014/chart" uri="{C3380CC4-5D6E-409C-BE32-E72D297353CC}">
              <c16:uniqueId val="{00000001-C5F2-4FFF-920B-CA185A2B2E6C}"/>
            </c:ext>
          </c:extLst>
        </c:ser>
        <c:dLbls>
          <c:showLegendKey val="0"/>
          <c:showVal val="0"/>
          <c:showCatName val="0"/>
          <c:showSerName val="0"/>
          <c:showPercent val="0"/>
          <c:showBubbleSize val="0"/>
        </c:dLbls>
        <c:gapWidth val="150"/>
        <c:axId val="140159256"/>
        <c:axId val="140159648"/>
      </c:barChart>
      <c:catAx>
        <c:axId val="140159256"/>
        <c:scaling>
          <c:orientation val="minMax"/>
        </c:scaling>
        <c:delete val="0"/>
        <c:axPos val="b"/>
        <c:numFmt formatCode="General" sourceLinked="1"/>
        <c:majorTickMark val="none"/>
        <c:minorTickMark val="none"/>
        <c:tickLblPos val="nextTo"/>
        <c:crossAx val="140159648"/>
        <c:crosses val="autoZero"/>
        <c:auto val="1"/>
        <c:lblAlgn val="ctr"/>
        <c:lblOffset val="100"/>
        <c:noMultiLvlLbl val="0"/>
      </c:catAx>
      <c:valAx>
        <c:axId val="140159648"/>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4015925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en-GB"/>
              <a:t>Completion of tertiary education</a:t>
            </a:r>
          </a:p>
        </c:rich>
      </c:tx>
      <c:overlay val="0"/>
    </c:title>
    <c:autoTitleDeleted val="0"/>
    <c:plotArea>
      <c:layout/>
      <c:barChart>
        <c:barDir val="col"/>
        <c:grouping val="clustered"/>
        <c:varyColors val="0"/>
        <c:ser>
          <c:idx val="0"/>
          <c:order val="0"/>
          <c:tx>
            <c:strRef>
              <c:f>Sheet1!$B$1</c:f>
              <c:strCache>
                <c:ptCount val="1"/>
                <c:pt idx="0">
                  <c:v>EU28 average</c:v>
                </c:pt>
              </c:strCache>
            </c:strRef>
          </c:tx>
          <c:invertIfNegative val="0"/>
          <c:cat>
            <c:strRef>
              <c:f>Sheet1!$A$2:$A$5</c:f>
              <c:strCache>
                <c:ptCount val="4"/>
                <c:pt idx="0">
                  <c:v>Disabled young people (30-34)</c:v>
                </c:pt>
                <c:pt idx="1">
                  <c:v>Non-disabled (30-34)</c:v>
                </c:pt>
                <c:pt idx="2">
                  <c:v>Disabled young people (30-39)</c:v>
                </c:pt>
                <c:pt idx="3">
                  <c:v>Non-disabled (30-39)</c:v>
                </c:pt>
              </c:strCache>
            </c:strRef>
          </c:cat>
          <c:val>
            <c:numRef>
              <c:f>Sheet1!$B$2:$B$5</c:f>
              <c:numCache>
                <c:formatCode>0.0</c:formatCode>
                <c:ptCount val="4"/>
                <c:pt idx="0">
                  <c:v>29.69</c:v>
                </c:pt>
                <c:pt idx="1">
                  <c:v>42.56</c:v>
                </c:pt>
                <c:pt idx="2">
                  <c:v>26.93</c:v>
                </c:pt>
                <c:pt idx="3">
                  <c:v>40.82</c:v>
                </c:pt>
              </c:numCache>
            </c:numRef>
          </c:val>
          <c:extLst>
            <c:ext xmlns:c16="http://schemas.microsoft.com/office/drawing/2014/chart" uri="{C3380CC4-5D6E-409C-BE32-E72D297353CC}">
              <c16:uniqueId val="{00000000-720D-4057-BA73-1B0F4BD29334}"/>
            </c:ext>
          </c:extLst>
        </c:ser>
        <c:ser>
          <c:idx val="1"/>
          <c:order val="1"/>
          <c:tx>
            <c:strRef>
              <c:f>Sheet1!$C$1</c:f>
              <c:strCache>
                <c:ptCount val="1"/>
                <c:pt idx="0">
                  <c:v>National average</c:v>
                </c:pt>
              </c:strCache>
            </c:strRef>
          </c:tx>
          <c:invertIfNegative val="0"/>
          <c:cat>
            <c:strRef>
              <c:f>Sheet1!$A$2:$A$5</c:f>
              <c:strCache>
                <c:ptCount val="4"/>
                <c:pt idx="0">
                  <c:v>Disabled young people (30-34)</c:v>
                </c:pt>
                <c:pt idx="1">
                  <c:v>Non-disabled (30-34)</c:v>
                </c:pt>
                <c:pt idx="2">
                  <c:v>Disabled young people (30-39)</c:v>
                </c:pt>
                <c:pt idx="3">
                  <c:v>Non-disabled (30-39)</c:v>
                </c:pt>
              </c:strCache>
            </c:strRef>
          </c:cat>
          <c:val>
            <c:numRef>
              <c:f>Sheet1!$C$2:$C$5</c:f>
              <c:numCache>
                <c:formatCode>0.0</c:formatCode>
                <c:ptCount val="4"/>
                <c:pt idx="0">
                  <c:v>18.850000000000001</c:v>
                </c:pt>
                <c:pt idx="1">
                  <c:v>41.67</c:v>
                </c:pt>
                <c:pt idx="2">
                  <c:v>21.8</c:v>
                </c:pt>
                <c:pt idx="3">
                  <c:v>41.28</c:v>
                </c:pt>
              </c:numCache>
            </c:numRef>
          </c:val>
          <c:extLst>
            <c:ext xmlns:c16="http://schemas.microsoft.com/office/drawing/2014/chart" uri="{C3380CC4-5D6E-409C-BE32-E72D297353CC}">
              <c16:uniqueId val="{00000001-720D-4057-BA73-1B0F4BD29334}"/>
            </c:ext>
          </c:extLst>
        </c:ser>
        <c:dLbls>
          <c:showLegendKey val="0"/>
          <c:showVal val="0"/>
          <c:showCatName val="0"/>
          <c:showSerName val="0"/>
          <c:showPercent val="0"/>
          <c:showBubbleSize val="0"/>
        </c:dLbls>
        <c:gapWidth val="150"/>
        <c:axId val="260436672"/>
        <c:axId val="260437064"/>
      </c:barChart>
      <c:catAx>
        <c:axId val="260436672"/>
        <c:scaling>
          <c:orientation val="minMax"/>
        </c:scaling>
        <c:delete val="0"/>
        <c:axPos val="b"/>
        <c:numFmt formatCode="General" sourceLinked="1"/>
        <c:majorTickMark val="none"/>
        <c:minorTickMark val="none"/>
        <c:tickLblPos val="nextTo"/>
        <c:crossAx val="260437064"/>
        <c:crosses val="autoZero"/>
        <c:auto val="1"/>
        <c:lblAlgn val="ctr"/>
        <c:lblOffset val="100"/>
        <c:noMultiLvlLbl val="0"/>
      </c:catAx>
      <c:valAx>
        <c:axId val="260437064"/>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260436672"/>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600"/>
              <a:t>Indicative trends in tertiary education rates</a:t>
            </a:r>
          </a:p>
        </c:rich>
      </c:tx>
      <c:layout>
        <c:manualLayout>
          <c:xMode val="edge"/>
          <c:yMode val="edge"/>
          <c:x val="0.17858213035870499"/>
          <c:y val="1.6427104722792601E-2"/>
        </c:manualLayout>
      </c:layout>
      <c:overlay val="0"/>
    </c:title>
    <c:autoTitleDeleted val="0"/>
    <c:plotArea>
      <c:layout/>
      <c:lineChart>
        <c:grouping val="standard"/>
        <c:varyColors val="0"/>
        <c:ser>
          <c:idx val="0"/>
          <c:order val="0"/>
          <c:tx>
            <c:strRef>
              <c:f>Sheet1!$B$1</c:f>
              <c:strCache>
                <c:ptCount val="1"/>
                <c:pt idx="0">
                  <c:v>Disabled (national)</c:v>
                </c:pt>
              </c:strCache>
            </c:strRef>
          </c:tx>
          <c:cat>
            <c:numRef>
              <c:f>Sheet1!$A$2:$A$8</c:f>
              <c:numCache>
                <c:formatCode>General</c:formatCode>
                <c:ptCount val="7"/>
                <c:pt idx="0">
                  <c:v>2008</c:v>
                </c:pt>
                <c:pt idx="1">
                  <c:v>2009</c:v>
                </c:pt>
                <c:pt idx="2">
                  <c:v>2010</c:v>
                </c:pt>
                <c:pt idx="3">
                  <c:v>2011</c:v>
                </c:pt>
                <c:pt idx="4">
                  <c:v>2012</c:v>
                </c:pt>
                <c:pt idx="5">
                  <c:v>2013</c:v>
                </c:pt>
                <c:pt idx="6">
                  <c:v>2014</c:v>
                </c:pt>
              </c:numCache>
            </c:numRef>
          </c:cat>
          <c:val>
            <c:numRef>
              <c:f>Sheet1!$B$2:$B$8</c:f>
              <c:numCache>
                <c:formatCode>General</c:formatCode>
                <c:ptCount val="7"/>
                <c:pt idx="0">
                  <c:v>15.7</c:v>
                </c:pt>
                <c:pt idx="1">
                  <c:v>25</c:v>
                </c:pt>
                <c:pt idx="2">
                  <c:v>16</c:v>
                </c:pt>
                <c:pt idx="3">
                  <c:v>22.8</c:v>
                </c:pt>
                <c:pt idx="4">
                  <c:v>19.3</c:v>
                </c:pt>
                <c:pt idx="5">
                  <c:v>14.7</c:v>
                </c:pt>
                <c:pt idx="6" formatCode="0.0">
                  <c:v>18.850000000000001</c:v>
                </c:pt>
              </c:numCache>
            </c:numRef>
          </c:val>
          <c:smooth val="0"/>
          <c:extLst>
            <c:ext xmlns:c16="http://schemas.microsoft.com/office/drawing/2014/chart" uri="{C3380CC4-5D6E-409C-BE32-E72D297353CC}">
              <c16:uniqueId val="{00000000-389D-41B9-8B7B-4C239ED7D606}"/>
            </c:ext>
          </c:extLst>
        </c:ser>
        <c:ser>
          <c:idx val="1"/>
          <c:order val="1"/>
          <c:tx>
            <c:strRef>
              <c:f>Sheet1!$C$1</c:f>
              <c:strCache>
                <c:ptCount val="1"/>
                <c:pt idx="0">
                  <c:v>Non-disabled (national)</c:v>
                </c:pt>
              </c:strCache>
            </c:strRef>
          </c:tx>
          <c:cat>
            <c:numRef>
              <c:f>Sheet1!$A$2:$A$8</c:f>
              <c:numCache>
                <c:formatCode>General</c:formatCode>
                <c:ptCount val="7"/>
                <c:pt idx="0">
                  <c:v>2008</c:v>
                </c:pt>
                <c:pt idx="1">
                  <c:v>2009</c:v>
                </c:pt>
                <c:pt idx="2">
                  <c:v>2010</c:v>
                </c:pt>
                <c:pt idx="3">
                  <c:v>2011</c:v>
                </c:pt>
                <c:pt idx="4">
                  <c:v>2012</c:v>
                </c:pt>
                <c:pt idx="5">
                  <c:v>2013</c:v>
                </c:pt>
                <c:pt idx="6">
                  <c:v>2014</c:v>
                </c:pt>
              </c:numCache>
            </c:numRef>
          </c:cat>
          <c:val>
            <c:numRef>
              <c:f>Sheet1!$C$2:$C$8</c:f>
              <c:numCache>
                <c:formatCode>General</c:formatCode>
                <c:ptCount val="7"/>
                <c:pt idx="0">
                  <c:v>28.5</c:v>
                </c:pt>
                <c:pt idx="1">
                  <c:v>25.7</c:v>
                </c:pt>
                <c:pt idx="2">
                  <c:v>27.6</c:v>
                </c:pt>
                <c:pt idx="3">
                  <c:v>27</c:v>
                </c:pt>
                <c:pt idx="4">
                  <c:v>29.4</c:v>
                </c:pt>
                <c:pt idx="5">
                  <c:v>29.6</c:v>
                </c:pt>
                <c:pt idx="6" formatCode="0.0">
                  <c:v>41.67</c:v>
                </c:pt>
              </c:numCache>
            </c:numRef>
          </c:val>
          <c:smooth val="0"/>
          <c:extLst>
            <c:ext xmlns:c16="http://schemas.microsoft.com/office/drawing/2014/chart" uri="{C3380CC4-5D6E-409C-BE32-E72D297353CC}">
              <c16:uniqueId val="{00000001-389D-41B9-8B7B-4C239ED7D606}"/>
            </c:ext>
          </c:extLst>
        </c:ser>
        <c:ser>
          <c:idx val="2"/>
          <c:order val="2"/>
          <c:tx>
            <c:strRef>
              <c:f>Sheet1!$D$1</c:f>
              <c:strCache>
                <c:ptCount val="1"/>
                <c:pt idx="0">
                  <c:v>Disabled (EU)</c:v>
                </c:pt>
              </c:strCache>
            </c:strRef>
          </c:tx>
          <c:cat>
            <c:numRef>
              <c:f>Sheet1!$A$2:$A$8</c:f>
              <c:numCache>
                <c:formatCode>General</c:formatCode>
                <c:ptCount val="7"/>
                <c:pt idx="0">
                  <c:v>2008</c:v>
                </c:pt>
                <c:pt idx="1">
                  <c:v>2009</c:v>
                </c:pt>
                <c:pt idx="2">
                  <c:v>2010</c:v>
                </c:pt>
                <c:pt idx="3">
                  <c:v>2011</c:v>
                </c:pt>
                <c:pt idx="4">
                  <c:v>2012</c:v>
                </c:pt>
                <c:pt idx="5">
                  <c:v>2013</c:v>
                </c:pt>
                <c:pt idx="6">
                  <c:v>2014</c:v>
                </c:pt>
              </c:numCache>
            </c:numRef>
          </c:cat>
          <c:val>
            <c:numRef>
              <c:f>Sheet1!$D$2:$D$8</c:f>
              <c:numCache>
                <c:formatCode>General</c:formatCode>
                <c:ptCount val="7"/>
                <c:pt idx="0">
                  <c:v>20.399999999999999</c:v>
                </c:pt>
                <c:pt idx="1">
                  <c:v>21.6</c:v>
                </c:pt>
                <c:pt idx="2">
                  <c:v>22.8</c:v>
                </c:pt>
                <c:pt idx="3">
                  <c:v>27.1</c:v>
                </c:pt>
                <c:pt idx="4">
                  <c:v>27.8</c:v>
                </c:pt>
                <c:pt idx="5">
                  <c:v>28</c:v>
                </c:pt>
                <c:pt idx="6">
                  <c:v>29.7</c:v>
                </c:pt>
              </c:numCache>
            </c:numRef>
          </c:val>
          <c:smooth val="0"/>
          <c:extLst>
            <c:ext xmlns:c16="http://schemas.microsoft.com/office/drawing/2014/chart" uri="{C3380CC4-5D6E-409C-BE32-E72D297353CC}">
              <c16:uniqueId val="{00000002-389D-41B9-8B7B-4C239ED7D606}"/>
            </c:ext>
          </c:extLst>
        </c:ser>
        <c:ser>
          <c:idx val="3"/>
          <c:order val="3"/>
          <c:tx>
            <c:strRef>
              <c:f>Sheet1!$E$1</c:f>
              <c:strCache>
                <c:ptCount val="1"/>
                <c:pt idx="0">
                  <c:v>Non-disabled (EU)</c:v>
                </c:pt>
              </c:strCache>
            </c:strRef>
          </c:tx>
          <c:cat>
            <c:numRef>
              <c:f>Sheet1!$A$2:$A$8</c:f>
              <c:numCache>
                <c:formatCode>General</c:formatCode>
                <c:ptCount val="7"/>
                <c:pt idx="0">
                  <c:v>2008</c:v>
                </c:pt>
                <c:pt idx="1">
                  <c:v>2009</c:v>
                </c:pt>
                <c:pt idx="2">
                  <c:v>2010</c:v>
                </c:pt>
                <c:pt idx="3">
                  <c:v>2011</c:v>
                </c:pt>
                <c:pt idx="4">
                  <c:v>2012</c:v>
                </c:pt>
                <c:pt idx="5">
                  <c:v>2013</c:v>
                </c:pt>
                <c:pt idx="6">
                  <c:v>2014</c:v>
                </c:pt>
              </c:numCache>
            </c:numRef>
          </c:cat>
          <c:val>
            <c:numRef>
              <c:f>Sheet1!$E$2:$E$8</c:f>
              <c:numCache>
                <c:formatCode>General</c:formatCode>
                <c:ptCount val="7"/>
                <c:pt idx="0">
                  <c:v>33.1</c:v>
                </c:pt>
                <c:pt idx="1">
                  <c:v>35.4</c:v>
                </c:pt>
                <c:pt idx="2">
                  <c:v>37</c:v>
                </c:pt>
                <c:pt idx="3">
                  <c:v>36.9</c:v>
                </c:pt>
                <c:pt idx="4">
                  <c:v>39.300000000000011</c:v>
                </c:pt>
                <c:pt idx="5">
                  <c:v>40.700000000000003</c:v>
                </c:pt>
                <c:pt idx="6">
                  <c:v>42.6</c:v>
                </c:pt>
              </c:numCache>
            </c:numRef>
          </c:val>
          <c:smooth val="0"/>
          <c:extLst>
            <c:ext xmlns:c16="http://schemas.microsoft.com/office/drawing/2014/chart" uri="{C3380CC4-5D6E-409C-BE32-E72D297353CC}">
              <c16:uniqueId val="{00000003-389D-41B9-8B7B-4C239ED7D606}"/>
            </c:ext>
          </c:extLst>
        </c:ser>
        <c:dLbls>
          <c:showLegendKey val="0"/>
          <c:showVal val="0"/>
          <c:showCatName val="0"/>
          <c:showSerName val="0"/>
          <c:showPercent val="0"/>
          <c:showBubbleSize val="0"/>
        </c:dLbls>
        <c:marker val="1"/>
        <c:smooth val="0"/>
        <c:axId val="260438632"/>
        <c:axId val="260439024"/>
      </c:lineChart>
      <c:catAx>
        <c:axId val="260438632"/>
        <c:scaling>
          <c:orientation val="minMax"/>
        </c:scaling>
        <c:delete val="0"/>
        <c:axPos val="b"/>
        <c:numFmt formatCode="General" sourceLinked="1"/>
        <c:majorTickMark val="none"/>
        <c:minorTickMark val="none"/>
        <c:tickLblPos val="nextTo"/>
        <c:crossAx val="260439024"/>
        <c:crosses val="autoZero"/>
        <c:auto val="1"/>
        <c:lblAlgn val="ctr"/>
        <c:lblOffset val="100"/>
        <c:noMultiLvlLbl val="0"/>
      </c:catAx>
      <c:valAx>
        <c:axId val="260439024"/>
        <c:scaling>
          <c:orientation val="minMax"/>
        </c:scaling>
        <c:delete val="0"/>
        <c:axPos val="l"/>
        <c:majorGridlines/>
        <c:title>
          <c:tx>
            <c:rich>
              <a:bodyPr/>
              <a:lstStyle/>
              <a:p>
                <a:pPr>
                  <a:defRPr/>
                </a:pPr>
                <a:r>
                  <a:rPr lang="en-GB"/>
                  <a:t>%</a:t>
                </a:r>
              </a:p>
            </c:rich>
          </c:tx>
          <c:overlay val="0"/>
        </c:title>
        <c:numFmt formatCode="General" sourceLinked="1"/>
        <c:majorTickMark val="none"/>
        <c:minorTickMark val="none"/>
        <c:tickLblPos val="nextTo"/>
        <c:crossAx val="260438632"/>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en-GB"/>
              <a:t>Main types of </a:t>
            </a:r>
            <a:r>
              <a:rPr lang="en-GB" baseline="0"/>
              <a:t>h</a:t>
            </a:r>
            <a:r>
              <a:rPr lang="en-GB"/>
              <a:t>ousehold poverty risk</a:t>
            </a:r>
          </a:p>
        </c:rich>
      </c:tx>
      <c:overlay val="0"/>
    </c:title>
    <c:autoTitleDeleted val="0"/>
    <c:plotArea>
      <c:layout/>
      <c:barChart>
        <c:barDir val="col"/>
        <c:grouping val="clustered"/>
        <c:varyColors val="0"/>
        <c:ser>
          <c:idx val="0"/>
          <c:order val="0"/>
          <c:tx>
            <c:strRef>
              <c:f>Sheet1!$B$1</c:f>
              <c:strCache>
                <c:ptCount val="1"/>
                <c:pt idx="0">
                  <c:v>EU average</c:v>
                </c:pt>
              </c:strCache>
            </c:strRef>
          </c:tx>
          <c:invertIfNegative val="0"/>
          <c:cat>
            <c:strRef>
              <c:f>Sheet1!$A$2:$A$7</c:f>
              <c:strCache>
                <c:ptCount val="6"/>
                <c:pt idx="0">
                  <c:v>Disabled - low work intensity</c:v>
                </c:pt>
                <c:pt idx="1">
                  <c:v>Non-disabled - low work intensity</c:v>
                </c:pt>
                <c:pt idx="2">
                  <c:v>Disabled - low income</c:v>
                </c:pt>
                <c:pt idx="3">
                  <c:v>Non-disabled - low income</c:v>
                </c:pt>
                <c:pt idx="4">
                  <c:v>Disabled - materially deprived</c:v>
                </c:pt>
                <c:pt idx="5">
                  <c:v>Non-disabled - materially deprived</c:v>
                </c:pt>
              </c:strCache>
            </c:strRef>
          </c:cat>
          <c:val>
            <c:numRef>
              <c:f>Sheet1!$B$2:$B$7</c:f>
              <c:numCache>
                <c:formatCode>0.0</c:formatCode>
                <c:ptCount val="6"/>
                <c:pt idx="0">
                  <c:v>25.13</c:v>
                </c:pt>
                <c:pt idx="1">
                  <c:v>8.7299999999999986</c:v>
                </c:pt>
                <c:pt idx="2">
                  <c:v>23.15</c:v>
                </c:pt>
                <c:pt idx="3">
                  <c:v>15.87</c:v>
                </c:pt>
                <c:pt idx="4">
                  <c:v>15.45</c:v>
                </c:pt>
                <c:pt idx="5">
                  <c:v>7.76</c:v>
                </c:pt>
              </c:numCache>
            </c:numRef>
          </c:val>
          <c:extLst>
            <c:ext xmlns:c16="http://schemas.microsoft.com/office/drawing/2014/chart" uri="{C3380CC4-5D6E-409C-BE32-E72D297353CC}">
              <c16:uniqueId val="{00000000-BBA0-4587-986A-E96AB6AC9C8D}"/>
            </c:ext>
          </c:extLst>
        </c:ser>
        <c:ser>
          <c:idx val="1"/>
          <c:order val="1"/>
          <c:tx>
            <c:strRef>
              <c:f>Sheet1!$C$1</c:f>
              <c:strCache>
                <c:ptCount val="1"/>
                <c:pt idx="0">
                  <c:v>National average</c:v>
                </c:pt>
              </c:strCache>
            </c:strRef>
          </c:tx>
          <c:invertIfNegative val="0"/>
          <c:cat>
            <c:strRef>
              <c:f>Sheet1!$A$2:$A$7</c:f>
              <c:strCache>
                <c:ptCount val="6"/>
                <c:pt idx="0">
                  <c:v>Disabled - low work intensity</c:v>
                </c:pt>
                <c:pt idx="1">
                  <c:v>Non-disabled - low work intensity</c:v>
                </c:pt>
                <c:pt idx="2">
                  <c:v>Disabled - low income</c:v>
                </c:pt>
                <c:pt idx="3">
                  <c:v>Non-disabled - low income</c:v>
                </c:pt>
                <c:pt idx="4">
                  <c:v>Disabled - materially deprived</c:v>
                </c:pt>
                <c:pt idx="5">
                  <c:v>Non-disabled - materially deprived</c:v>
                </c:pt>
              </c:strCache>
            </c:strRef>
          </c:cat>
          <c:val>
            <c:numRef>
              <c:f>Sheet1!$C$2:$C$7</c:f>
              <c:numCache>
                <c:formatCode>0.0</c:formatCode>
                <c:ptCount val="6"/>
                <c:pt idx="0">
                  <c:v>19.75</c:v>
                </c:pt>
                <c:pt idx="1">
                  <c:v>5.6599999999999957</c:v>
                </c:pt>
                <c:pt idx="2">
                  <c:v>16.62</c:v>
                </c:pt>
                <c:pt idx="3">
                  <c:v>11.65</c:v>
                </c:pt>
                <c:pt idx="4">
                  <c:v>7.6499999999999977</c:v>
                </c:pt>
                <c:pt idx="5">
                  <c:v>2.78</c:v>
                </c:pt>
              </c:numCache>
            </c:numRef>
          </c:val>
          <c:extLst>
            <c:ext xmlns:c16="http://schemas.microsoft.com/office/drawing/2014/chart" uri="{C3380CC4-5D6E-409C-BE32-E72D297353CC}">
              <c16:uniqueId val="{00000001-BBA0-4587-986A-E96AB6AC9C8D}"/>
            </c:ext>
          </c:extLst>
        </c:ser>
        <c:dLbls>
          <c:showLegendKey val="0"/>
          <c:showVal val="0"/>
          <c:showCatName val="0"/>
          <c:showSerName val="0"/>
          <c:showPercent val="0"/>
          <c:showBubbleSize val="0"/>
        </c:dLbls>
        <c:gapWidth val="150"/>
        <c:axId val="260439808"/>
        <c:axId val="260440200"/>
      </c:barChart>
      <c:catAx>
        <c:axId val="260439808"/>
        <c:scaling>
          <c:orientation val="minMax"/>
        </c:scaling>
        <c:delete val="0"/>
        <c:axPos val="b"/>
        <c:numFmt formatCode="General" sourceLinked="1"/>
        <c:majorTickMark val="none"/>
        <c:minorTickMark val="none"/>
        <c:tickLblPos val="nextTo"/>
        <c:crossAx val="260440200"/>
        <c:crosses val="autoZero"/>
        <c:auto val="1"/>
        <c:lblAlgn val="ctr"/>
        <c:lblOffset val="100"/>
        <c:noMultiLvlLbl val="0"/>
      </c:catAx>
      <c:valAx>
        <c:axId val="260440200"/>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260439808"/>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en-GB" sz="1600"/>
              <a:t>Overall poverty risk factors</a:t>
            </a:r>
          </a:p>
        </c:rich>
      </c:tx>
      <c:overlay val="0"/>
    </c:title>
    <c:autoTitleDeleted val="0"/>
    <c:plotArea>
      <c:layout/>
      <c:barChart>
        <c:barDir val="col"/>
        <c:grouping val="clustered"/>
        <c:varyColors val="0"/>
        <c:ser>
          <c:idx val="0"/>
          <c:order val="0"/>
          <c:tx>
            <c:strRef>
              <c:f>Sheet1!$B$1</c:f>
              <c:strCache>
                <c:ptCount val="1"/>
                <c:pt idx="0">
                  <c:v>EU average</c:v>
                </c:pt>
              </c:strCache>
            </c:strRef>
          </c:tx>
          <c:invertIfNegative val="0"/>
          <c:cat>
            <c:strRef>
              <c:f>Sheet1!$A$2:$A$8</c:f>
              <c:strCache>
                <c:ptCount val="7"/>
                <c:pt idx="0">
                  <c:v>No disability</c:v>
                </c:pt>
                <c:pt idx="1">
                  <c:v>Moderate disability</c:v>
                </c:pt>
                <c:pt idx="2">
                  <c:v>Severe disability</c:v>
                </c:pt>
                <c:pt idx="3">
                  <c:v>Disabled women</c:v>
                </c:pt>
                <c:pt idx="4">
                  <c:v>Disabled men</c:v>
                </c:pt>
                <c:pt idx="5">
                  <c:v>Non-disabled women</c:v>
                </c:pt>
                <c:pt idx="6">
                  <c:v>Non-disabled men</c:v>
                </c:pt>
              </c:strCache>
            </c:strRef>
          </c:cat>
          <c:val>
            <c:numRef>
              <c:f>Sheet1!$B$2:$B$8</c:f>
              <c:numCache>
                <c:formatCode>0.0</c:formatCode>
                <c:ptCount val="7"/>
                <c:pt idx="0">
                  <c:v>21.43</c:v>
                </c:pt>
                <c:pt idx="1">
                  <c:v>27</c:v>
                </c:pt>
                <c:pt idx="2">
                  <c:v>36.700000000000003</c:v>
                </c:pt>
                <c:pt idx="3">
                  <c:v>31.04</c:v>
                </c:pt>
                <c:pt idx="4" formatCode="General">
                  <c:v>28.81</c:v>
                </c:pt>
                <c:pt idx="5" formatCode="General">
                  <c:v>22.42</c:v>
                </c:pt>
                <c:pt idx="6" formatCode="General">
                  <c:v>20.43</c:v>
                </c:pt>
              </c:numCache>
            </c:numRef>
          </c:val>
          <c:extLst>
            <c:ext xmlns:c16="http://schemas.microsoft.com/office/drawing/2014/chart" uri="{C3380CC4-5D6E-409C-BE32-E72D297353CC}">
              <c16:uniqueId val="{00000000-D405-4CFB-9AB5-41CD2FD4C7C6}"/>
            </c:ext>
          </c:extLst>
        </c:ser>
        <c:ser>
          <c:idx val="1"/>
          <c:order val="1"/>
          <c:tx>
            <c:strRef>
              <c:f>Sheet1!$C$1</c:f>
              <c:strCache>
                <c:ptCount val="1"/>
                <c:pt idx="0">
                  <c:v>National average</c:v>
                </c:pt>
              </c:strCache>
            </c:strRef>
          </c:tx>
          <c:invertIfNegative val="0"/>
          <c:cat>
            <c:strRef>
              <c:f>Sheet1!$A$2:$A$8</c:f>
              <c:strCache>
                <c:ptCount val="7"/>
                <c:pt idx="0">
                  <c:v>No disability</c:v>
                </c:pt>
                <c:pt idx="1">
                  <c:v>Moderate disability</c:v>
                </c:pt>
                <c:pt idx="2">
                  <c:v>Severe disability</c:v>
                </c:pt>
                <c:pt idx="3">
                  <c:v>Disabled women</c:v>
                </c:pt>
                <c:pt idx="4">
                  <c:v>Disabled men</c:v>
                </c:pt>
                <c:pt idx="5">
                  <c:v>Non-disabled women</c:v>
                </c:pt>
                <c:pt idx="6">
                  <c:v>Non-disabled men</c:v>
                </c:pt>
              </c:strCache>
            </c:strRef>
          </c:cat>
          <c:val>
            <c:numRef>
              <c:f>Sheet1!$C$2:$C$8</c:f>
              <c:numCache>
                <c:formatCode>0.0</c:formatCode>
                <c:ptCount val="7"/>
                <c:pt idx="0">
                  <c:v>15.39</c:v>
                </c:pt>
                <c:pt idx="1">
                  <c:v>21.41</c:v>
                </c:pt>
                <c:pt idx="2">
                  <c:v>30.82</c:v>
                </c:pt>
                <c:pt idx="3">
                  <c:v>25.78</c:v>
                </c:pt>
                <c:pt idx="4" formatCode="General">
                  <c:v>22.29</c:v>
                </c:pt>
                <c:pt idx="5" formatCode="General">
                  <c:v>16.739999999999991</c:v>
                </c:pt>
                <c:pt idx="6" formatCode="General">
                  <c:v>14.04</c:v>
                </c:pt>
              </c:numCache>
            </c:numRef>
          </c:val>
          <c:extLst>
            <c:ext xmlns:c16="http://schemas.microsoft.com/office/drawing/2014/chart" uri="{C3380CC4-5D6E-409C-BE32-E72D297353CC}">
              <c16:uniqueId val="{00000001-D405-4CFB-9AB5-41CD2FD4C7C6}"/>
            </c:ext>
          </c:extLst>
        </c:ser>
        <c:dLbls>
          <c:showLegendKey val="0"/>
          <c:showVal val="0"/>
          <c:showCatName val="0"/>
          <c:showSerName val="0"/>
          <c:showPercent val="0"/>
          <c:showBubbleSize val="0"/>
        </c:dLbls>
        <c:gapWidth val="150"/>
        <c:axId val="260637328"/>
        <c:axId val="260637720"/>
      </c:barChart>
      <c:catAx>
        <c:axId val="260637328"/>
        <c:scaling>
          <c:orientation val="minMax"/>
        </c:scaling>
        <c:delete val="0"/>
        <c:axPos val="b"/>
        <c:numFmt formatCode="General" sourceLinked="1"/>
        <c:majorTickMark val="none"/>
        <c:minorTickMark val="none"/>
        <c:tickLblPos val="nextTo"/>
        <c:crossAx val="260637720"/>
        <c:crosses val="autoZero"/>
        <c:auto val="1"/>
        <c:lblAlgn val="ctr"/>
        <c:lblOffset val="100"/>
        <c:noMultiLvlLbl val="0"/>
      </c:catAx>
      <c:valAx>
        <c:axId val="260637720"/>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260637328"/>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en-GB"/>
              <a:t>Overall</a:t>
            </a:r>
            <a:r>
              <a:rPr lang="en-GB" baseline="0"/>
              <a:t> h</a:t>
            </a:r>
            <a:r>
              <a:rPr lang="en-GB"/>
              <a:t>ousehold poverty risk</a:t>
            </a:r>
            <a:r>
              <a:rPr lang="en-GB" baseline="0"/>
              <a:t> by age</a:t>
            </a:r>
            <a:endParaRPr lang="en-GB"/>
          </a:p>
        </c:rich>
      </c:tx>
      <c:overlay val="0"/>
    </c:title>
    <c:autoTitleDeleted val="0"/>
    <c:plotArea>
      <c:layout/>
      <c:barChart>
        <c:barDir val="col"/>
        <c:grouping val="clustered"/>
        <c:varyColors val="0"/>
        <c:ser>
          <c:idx val="0"/>
          <c:order val="0"/>
          <c:tx>
            <c:strRef>
              <c:f>Sheet1!$B$1</c:f>
              <c:strCache>
                <c:ptCount val="1"/>
                <c:pt idx="0">
                  <c:v>EU average</c:v>
                </c:pt>
              </c:strCache>
            </c:strRef>
          </c:tx>
          <c:invertIfNegative val="0"/>
          <c:cat>
            <c:strRef>
              <c:f>Sheet1!$A$2:$A$5</c:f>
              <c:strCache>
                <c:ptCount val="4"/>
                <c:pt idx="0">
                  <c:v>Disabled (16-64)</c:v>
                </c:pt>
                <c:pt idx="1">
                  <c:v>Non-disabled (16-64)</c:v>
                </c:pt>
                <c:pt idx="2">
                  <c:v>Disabled (65+)</c:v>
                </c:pt>
                <c:pt idx="3">
                  <c:v>Non-disabled (65+)</c:v>
                </c:pt>
              </c:strCache>
            </c:strRef>
          </c:cat>
          <c:val>
            <c:numRef>
              <c:f>Sheet1!$B$2:$B$5</c:f>
              <c:numCache>
                <c:formatCode>0.0</c:formatCode>
                <c:ptCount val="4"/>
                <c:pt idx="0">
                  <c:v>37.97</c:v>
                </c:pt>
                <c:pt idx="1">
                  <c:v>22.54</c:v>
                </c:pt>
                <c:pt idx="2">
                  <c:v>20.27</c:v>
                </c:pt>
                <c:pt idx="3">
                  <c:v>14.37</c:v>
                </c:pt>
              </c:numCache>
            </c:numRef>
          </c:val>
          <c:extLst>
            <c:ext xmlns:c16="http://schemas.microsoft.com/office/drawing/2014/chart" uri="{C3380CC4-5D6E-409C-BE32-E72D297353CC}">
              <c16:uniqueId val="{00000000-ADC5-4F07-9B4C-0CAF207BA9BD}"/>
            </c:ext>
          </c:extLst>
        </c:ser>
        <c:ser>
          <c:idx val="1"/>
          <c:order val="1"/>
          <c:tx>
            <c:strRef>
              <c:f>Sheet1!$C$1</c:f>
              <c:strCache>
                <c:ptCount val="1"/>
                <c:pt idx="0">
                  <c:v>National average</c:v>
                </c:pt>
              </c:strCache>
            </c:strRef>
          </c:tx>
          <c:invertIfNegative val="0"/>
          <c:cat>
            <c:strRef>
              <c:f>Sheet1!$A$2:$A$5</c:f>
              <c:strCache>
                <c:ptCount val="4"/>
                <c:pt idx="0">
                  <c:v>Disabled (16-64)</c:v>
                </c:pt>
                <c:pt idx="1">
                  <c:v>Non-disabled (16-64)</c:v>
                </c:pt>
                <c:pt idx="2">
                  <c:v>Disabled (65+)</c:v>
                </c:pt>
                <c:pt idx="3">
                  <c:v>Non-disabled (65+)</c:v>
                </c:pt>
              </c:strCache>
            </c:strRef>
          </c:cat>
          <c:val>
            <c:numRef>
              <c:f>Sheet1!$C$2:$C$5</c:f>
              <c:numCache>
                <c:formatCode>0.0</c:formatCode>
                <c:ptCount val="4"/>
                <c:pt idx="0">
                  <c:v>28.09</c:v>
                </c:pt>
                <c:pt idx="1">
                  <c:v>15.7</c:v>
                </c:pt>
                <c:pt idx="2">
                  <c:v>17.489999999999981</c:v>
                </c:pt>
                <c:pt idx="3">
                  <c:v>13.33</c:v>
                </c:pt>
              </c:numCache>
            </c:numRef>
          </c:val>
          <c:extLst>
            <c:ext xmlns:c16="http://schemas.microsoft.com/office/drawing/2014/chart" uri="{C3380CC4-5D6E-409C-BE32-E72D297353CC}">
              <c16:uniqueId val="{00000001-ADC5-4F07-9B4C-0CAF207BA9BD}"/>
            </c:ext>
          </c:extLst>
        </c:ser>
        <c:dLbls>
          <c:showLegendKey val="0"/>
          <c:showVal val="0"/>
          <c:showCatName val="0"/>
          <c:showSerName val="0"/>
          <c:showPercent val="0"/>
          <c:showBubbleSize val="0"/>
        </c:dLbls>
        <c:gapWidth val="150"/>
        <c:axId val="260638896"/>
        <c:axId val="260639288"/>
      </c:barChart>
      <c:catAx>
        <c:axId val="260638896"/>
        <c:scaling>
          <c:orientation val="minMax"/>
        </c:scaling>
        <c:delete val="0"/>
        <c:axPos val="b"/>
        <c:numFmt formatCode="General" sourceLinked="1"/>
        <c:majorTickMark val="none"/>
        <c:minorTickMark val="none"/>
        <c:tickLblPos val="nextTo"/>
        <c:crossAx val="260639288"/>
        <c:crosses val="autoZero"/>
        <c:auto val="1"/>
        <c:lblAlgn val="ctr"/>
        <c:lblOffset val="100"/>
        <c:noMultiLvlLbl val="0"/>
      </c:catAx>
      <c:valAx>
        <c:axId val="260639288"/>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260638896"/>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a:t>Trends in national risk of household poverty or social exclusion</a:t>
            </a:r>
          </a:p>
        </c:rich>
      </c:tx>
      <c:overlay val="0"/>
    </c:title>
    <c:autoTitleDeleted val="0"/>
    <c:plotArea>
      <c:layout/>
      <c:lineChart>
        <c:grouping val="standard"/>
        <c:varyColors val="0"/>
        <c:ser>
          <c:idx val="0"/>
          <c:order val="0"/>
          <c:tx>
            <c:strRef>
              <c:f>Sheet1!$B$1</c:f>
              <c:strCache>
                <c:ptCount val="1"/>
                <c:pt idx="0">
                  <c:v>Disabled (16-64)</c:v>
                </c:pt>
              </c:strCache>
            </c:strRef>
          </c:tx>
          <c:cat>
            <c:numRef>
              <c:f>Sheet1!$A$2:$A$6</c:f>
              <c:numCache>
                <c:formatCode>General</c:formatCode>
                <c:ptCount val="5"/>
                <c:pt idx="0">
                  <c:v>2010</c:v>
                </c:pt>
                <c:pt idx="1">
                  <c:v>2011</c:v>
                </c:pt>
                <c:pt idx="2">
                  <c:v>2012</c:v>
                </c:pt>
                <c:pt idx="3">
                  <c:v>2013</c:v>
                </c:pt>
                <c:pt idx="4">
                  <c:v>2014</c:v>
                </c:pt>
              </c:numCache>
            </c:numRef>
          </c:cat>
          <c:val>
            <c:numRef>
              <c:f>Sheet1!$B$2:$B$6</c:f>
              <c:numCache>
                <c:formatCode>General</c:formatCode>
                <c:ptCount val="5"/>
                <c:pt idx="0">
                  <c:v>26.1</c:v>
                </c:pt>
                <c:pt idx="1">
                  <c:v>29.1</c:v>
                </c:pt>
                <c:pt idx="2">
                  <c:v>29.1</c:v>
                </c:pt>
                <c:pt idx="3">
                  <c:v>28.2</c:v>
                </c:pt>
                <c:pt idx="4" formatCode="0.0">
                  <c:v>28.09</c:v>
                </c:pt>
              </c:numCache>
            </c:numRef>
          </c:val>
          <c:smooth val="0"/>
          <c:extLst>
            <c:ext xmlns:c16="http://schemas.microsoft.com/office/drawing/2014/chart" uri="{C3380CC4-5D6E-409C-BE32-E72D297353CC}">
              <c16:uniqueId val="{00000000-24EC-4219-81B8-BEAE5C220341}"/>
            </c:ext>
          </c:extLst>
        </c:ser>
        <c:ser>
          <c:idx val="1"/>
          <c:order val="1"/>
          <c:tx>
            <c:strRef>
              <c:f>Sheet1!$C$1</c:f>
              <c:strCache>
                <c:ptCount val="1"/>
                <c:pt idx="0">
                  <c:v>Non-disabled (16-64)</c:v>
                </c:pt>
              </c:strCache>
            </c:strRef>
          </c:tx>
          <c:cat>
            <c:numRef>
              <c:f>Sheet1!$A$2:$A$6</c:f>
              <c:numCache>
                <c:formatCode>General</c:formatCode>
                <c:ptCount val="5"/>
                <c:pt idx="0">
                  <c:v>2010</c:v>
                </c:pt>
                <c:pt idx="1">
                  <c:v>2011</c:v>
                </c:pt>
                <c:pt idx="2">
                  <c:v>2012</c:v>
                </c:pt>
                <c:pt idx="3">
                  <c:v>2013</c:v>
                </c:pt>
                <c:pt idx="4">
                  <c:v>2014</c:v>
                </c:pt>
              </c:numCache>
            </c:numRef>
          </c:cat>
          <c:val>
            <c:numRef>
              <c:f>Sheet1!$C$2:$C$6</c:f>
              <c:numCache>
                <c:formatCode>General</c:formatCode>
                <c:ptCount val="5"/>
                <c:pt idx="0">
                  <c:v>13.4</c:v>
                </c:pt>
                <c:pt idx="1">
                  <c:v>12.6</c:v>
                </c:pt>
                <c:pt idx="2">
                  <c:v>15.4</c:v>
                </c:pt>
                <c:pt idx="3">
                  <c:v>15.2</c:v>
                </c:pt>
                <c:pt idx="4" formatCode="0.0">
                  <c:v>15.7</c:v>
                </c:pt>
              </c:numCache>
            </c:numRef>
          </c:val>
          <c:smooth val="0"/>
          <c:extLst>
            <c:ext xmlns:c16="http://schemas.microsoft.com/office/drawing/2014/chart" uri="{C3380CC4-5D6E-409C-BE32-E72D297353CC}">
              <c16:uniqueId val="{00000001-24EC-4219-81B8-BEAE5C220341}"/>
            </c:ext>
          </c:extLst>
        </c:ser>
        <c:ser>
          <c:idx val="2"/>
          <c:order val="2"/>
          <c:tx>
            <c:strRef>
              <c:f>Sheet1!$D$1</c:f>
              <c:strCache>
                <c:ptCount val="1"/>
                <c:pt idx="0">
                  <c:v>Disabled (65+)</c:v>
                </c:pt>
              </c:strCache>
            </c:strRef>
          </c:tx>
          <c:cat>
            <c:numRef>
              <c:f>Sheet1!$A$2:$A$6</c:f>
              <c:numCache>
                <c:formatCode>General</c:formatCode>
                <c:ptCount val="5"/>
                <c:pt idx="0">
                  <c:v>2010</c:v>
                </c:pt>
                <c:pt idx="1">
                  <c:v>2011</c:v>
                </c:pt>
                <c:pt idx="2">
                  <c:v>2012</c:v>
                </c:pt>
                <c:pt idx="3">
                  <c:v>2013</c:v>
                </c:pt>
                <c:pt idx="4">
                  <c:v>2014</c:v>
                </c:pt>
              </c:numCache>
            </c:numRef>
          </c:cat>
          <c:val>
            <c:numRef>
              <c:f>Sheet1!$D$2:$D$6</c:f>
              <c:numCache>
                <c:formatCode>General</c:formatCode>
                <c:ptCount val="5"/>
                <c:pt idx="0">
                  <c:v>19.399999999999999</c:v>
                </c:pt>
                <c:pt idx="1">
                  <c:v>20.100000000000001</c:v>
                </c:pt>
                <c:pt idx="2">
                  <c:v>18.399999999999999</c:v>
                </c:pt>
                <c:pt idx="3">
                  <c:v>16.899999999999999</c:v>
                </c:pt>
                <c:pt idx="4" formatCode="0.0">
                  <c:v>17.489999999999981</c:v>
                </c:pt>
              </c:numCache>
            </c:numRef>
          </c:val>
          <c:smooth val="0"/>
          <c:extLst>
            <c:ext xmlns:c16="http://schemas.microsoft.com/office/drawing/2014/chart" uri="{C3380CC4-5D6E-409C-BE32-E72D297353CC}">
              <c16:uniqueId val="{00000002-24EC-4219-81B8-BEAE5C220341}"/>
            </c:ext>
          </c:extLst>
        </c:ser>
        <c:ser>
          <c:idx val="3"/>
          <c:order val="3"/>
          <c:tx>
            <c:strRef>
              <c:f>Sheet1!$E$1</c:f>
              <c:strCache>
                <c:ptCount val="1"/>
                <c:pt idx="0">
                  <c:v>Non-disabled (65+)</c:v>
                </c:pt>
              </c:strCache>
            </c:strRef>
          </c:tx>
          <c:cat>
            <c:numRef>
              <c:f>Sheet1!$A$2:$A$6</c:f>
              <c:numCache>
                <c:formatCode>General</c:formatCode>
                <c:ptCount val="5"/>
                <c:pt idx="0">
                  <c:v>2010</c:v>
                </c:pt>
                <c:pt idx="1">
                  <c:v>2011</c:v>
                </c:pt>
                <c:pt idx="2">
                  <c:v>2012</c:v>
                </c:pt>
                <c:pt idx="3">
                  <c:v>2013</c:v>
                </c:pt>
                <c:pt idx="4">
                  <c:v>2014</c:v>
                </c:pt>
              </c:numCache>
            </c:numRef>
          </c:cat>
          <c:val>
            <c:numRef>
              <c:f>Sheet1!$E$2:$E$6</c:f>
              <c:numCache>
                <c:formatCode>General</c:formatCode>
                <c:ptCount val="5"/>
                <c:pt idx="0">
                  <c:v>11.4</c:v>
                </c:pt>
                <c:pt idx="1">
                  <c:v>13.3</c:v>
                </c:pt>
                <c:pt idx="2">
                  <c:v>14</c:v>
                </c:pt>
                <c:pt idx="3">
                  <c:v>15.4</c:v>
                </c:pt>
                <c:pt idx="4" formatCode="0.0">
                  <c:v>13.33</c:v>
                </c:pt>
              </c:numCache>
            </c:numRef>
          </c:val>
          <c:smooth val="0"/>
          <c:extLst>
            <c:ext xmlns:c16="http://schemas.microsoft.com/office/drawing/2014/chart" uri="{C3380CC4-5D6E-409C-BE32-E72D297353CC}">
              <c16:uniqueId val="{00000003-24EC-4219-81B8-BEAE5C220341}"/>
            </c:ext>
          </c:extLst>
        </c:ser>
        <c:ser>
          <c:idx val="4"/>
          <c:order val="4"/>
          <c:tx>
            <c:strRef>
              <c:f>Sheet1!$F$1</c:f>
              <c:strCache>
                <c:ptCount val="1"/>
                <c:pt idx="0">
                  <c:v>EU average (all 16+)</c:v>
                </c:pt>
              </c:strCache>
            </c:strRef>
          </c:tx>
          <c:cat>
            <c:numRef>
              <c:f>Sheet1!$A$2:$A$6</c:f>
              <c:numCache>
                <c:formatCode>General</c:formatCode>
                <c:ptCount val="5"/>
                <c:pt idx="0">
                  <c:v>2010</c:v>
                </c:pt>
                <c:pt idx="1">
                  <c:v>2011</c:v>
                </c:pt>
                <c:pt idx="2">
                  <c:v>2012</c:v>
                </c:pt>
                <c:pt idx="3">
                  <c:v>2013</c:v>
                </c:pt>
                <c:pt idx="4">
                  <c:v>2014</c:v>
                </c:pt>
              </c:numCache>
            </c:numRef>
          </c:cat>
          <c:val>
            <c:numRef>
              <c:f>Sheet1!$F$2:$F$6</c:f>
              <c:numCache>
                <c:formatCode>General</c:formatCode>
                <c:ptCount val="5"/>
                <c:pt idx="0">
                  <c:v>22.7</c:v>
                </c:pt>
                <c:pt idx="1">
                  <c:v>23.6</c:v>
                </c:pt>
                <c:pt idx="2">
                  <c:v>24.1</c:v>
                </c:pt>
                <c:pt idx="3">
                  <c:v>23.8</c:v>
                </c:pt>
                <c:pt idx="4" formatCode="0.0">
                  <c:v>23.8</c:v>
                </c:pt>
              </c:numCache>
            </c:numRef>
          </c:val>
          <c:smooth val="0"/>
          <c:extLst>
            <c:ext xmlns:c16="http://schemas.microsoft.com/office/drawing/2014/chart" uri="{C3380CC4-5D6E-409C-BE32-E72D297353CC}">
              <c16:uniqueId val="{00000004-24EC-4219-81B8-BEAE5C220341}"/>
            </c:ext>
          </c:extLst>
        </c:ser>
        <c:dLbls>
          <c:showLegendKey val="0"/>
          <c:showVal val="0"/>
          <c:showCatName val="0"/>
          <c:showSerName val="0"/>
          <c:showPercent val="0"/>
          <c:showBubbleSize val="0"/>
        </c:dLbls>
        <c:marker val="1"/>
        <c:smooth val="0"/>
        <c:axId val="260956064"/>
        <c:axId val="260956456"/>
      </c:lineChart>
      <c:catAx>
        <c:axId val="260956064"/>
        <c:scaling>
          <c:orientation val="minMax"/>
        </c:scaling>
        <c:delete val="0"/>
        <c:axPos val="b"/>
        <c:numFmt formatCode="General" sourceLinked="1"/>
        <c:majorTickMark val="none"/>
        <c:minorTickMark val="none"/>
        <c:tickLblPos val="nextTo"/>
        <c:crossAx val="260956456"/>
        <c:crosses val="autoZero"/>
        <c:auto val="1"/>
        <c:lblAlgn val="ctr"/>
        <c:lblOffset val="100"/>
        <c:noMultiLvlLbl val="0"/>
      </c:catAx>
      <c:valAx>
        <c:axId val="260956456"/>
        <c:scaling>
          <c:orientation val="minMax"/>
        </c:scaling>
        <c:delete val="0"/>
        <c:axPos val="l"/>
        <c:majorGridlines/>
        <c:title>
          <c:tx>
            <c:rich>
              <a:bodyPr/>
              <a:lstStyle/>
              <a:p>
                <a:pPr>
                  <a:defRPr/>
                </a:pPr>
                <a:r>
                  <a:rPr lang="en-GB"/>
                  <a:t>%</a:t>
                </a:r>
              </a:p>
            </c:rich>
          </c:tx>
          <c:overlay val="0"/>
        </c:title>
        <c:numFmt formatCode="General" sourceLinked="1"/>
        <c:majorTickMark val="none"/>
        <c:minorTickMark val="none"/>
        <c:tickLblPos val="nextTo"/>
        <c:crossAx val="260956064"/>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en-GB" sz="1600"/>
              <a:t>Overview of employment rates</a:t>
            </a:r>
          </a:p>
        </c:rich>
      </c:tx>
      <c:overlay val="0"/>
    </c:title>
    <c:autoTitleDeleted val="0"/>
    <c:plotArea>
      <c:layout/>
      <c:barChart>
        <c:barDir val="col"/>
        <c:grouping val="clustered"/>
        <c:varyColors val="0"/>
        <c:ser>
          <c:idx val="0"/>
          <c:order val="0"/>
          <c:tx>
            <c:strRef>
              <c:f>Sheet1!$B$1</c:f>
              <c:strCache>
                <c:ptCount val="1"/>
                <c:pt idx="0">
                  <c:v>EU average</c:v>
                </c:pt>
              </c:strCache>
            </c:strRef>
          </c:tx>
          <c:invertIfNegative val="0"/>
          <c:cat>
            <c:strRef>
              <c:f>Sheet1!$A$2:$A$8</c:f>
              <c:strCache>
                <c:ptCount val="7"/>
                <c:pt idx="0">
                  <c:v>No disability</c:v>
                </c:pt>
                <c:pt idx="1">
                  <c:v>Moderate disability</c:v>
                </c:pt>
                <c:pt idx="2">
                  <c:v>Severe disability</c:v>
                </c:pt>
                <c:pt idx="3">
                  <c:v>Disabled women</c:v>
                </c:pt>
                <c:pt idx="4">
                  <c:v>Disabled men</c:v>
                </c:pt>
                <c:pt idx="5">
                  <c:v>Non-disabled women</c:v>
                </c:pt>
                <c:pt idx="6">
                  <c:v>Non-disabled men</c:v>
                </c:pt>
              </c:strCache>
            </c:strRef>
          </c:cat>
          <c:val>
            <c:numRef>
              <c:f>Sheet1!$B$2:$B$8</c:f>
              <c:numCache>
                <c:formatCode>0.0</c:formatCode>
                <c:ptCount val="7"/>
                <c:pt idx="0">
                  <c:v>72.52</c:v>
                </c:pt>
                <c:pt idx="1">
                  <c:v>56.74</c:v>
                </c:pt>
                <c:pt idx="2">
                  <c:v>28.3</c:v>
                </c:pt>
                <c:pt idx="3">
                  <c:v>45.67</c:v>
                </c:pt>
                <c:pt idx="4">
                  <c:v>52.32</c:v>
                </c:pt>
                <c:pt idx="5">
                  <c:v>66.66</c:v>
                </c:pt>
                <c:pt idx="6">
                  <c:v>78.34</c:v>
                </c:pt>
              </c:numCache>
            </c:numRef>
          </c:val>
          <c:extLst>
            <c:ext xmlns:c16="http://schemas.microsoft.com/office/drawing/2014/chart" uri="{C3380CC4-5D6E-409C-BE32-E72D297353CC}">
              <c16:uniqueId val="{00000000-6B22-426C-9925-AA4A51B00A01}"/>
            </c:ext>
          </c:extLst>
        </c:ser>
        <c:ser>
          <c:idx val="1"/>
          <c:order val="1"/>
          <c:tx>
            <c:strRef>
              <c:f>Sheet1!$C$1</c:f>
              <c:strCache>
                <c:ptCount val="1"/>
                <c:pt idx="0">
                  <c:v>National average</c:v>
                </c:pt>
              </c:strCache>
            </c:strRef>
          </c:tx>
          <c:invertIfNegative val="0"/>
          <c:cat>
            <c:strRef>
              <c:f>Sheet1!$A$2:$A$8</c:f>
              <c:strCache>
                <c:ptCount val="7"/>
                <c:pt idx="0">
                  <c:v>No disability</c:v>
                </c:pt>
                <c:pt idx="1">
                  <c:v>Moderate disability</c:v>
                </c:pt>
                <c:pt idx="2">
                  <c:v>Severe disability</c:v>
                </c:pt>
                <c:pt idx="3">
                  <c:v>Disabled women</c:v>
                </c:pt>
                <c:pt idx="4">
                  <c:v>Disabled men</c:v>
                </c:pt>
                <c:pt idx="5">
                  <c:v>Non-disabled women</c:v>
                </c:pt>
                <c:pt idx="6">
                  <c:v>Non-disabled men</c:v>
                </c:pt>
              </c:strCache>
            </c:strRef>
          </c:cat>
          <c:val>
            <c:numRef>
              <c:f>Sheet1!$C$2:$C$8</c:f>
              <c:numCache>
                <c:formatCode>0.0</c:formatCode>
                <c:ptCount val="7"/>
                <c:pt idx="0">
                  <c:v>73.38</c:v>
                </c:pt>
                <c:pt idx="1">
                  <c:v>63.54</c:v>
                </c:pt>
                <c:pt idx="2">
                  <c:v>25.7</c:v>
                </c:pt>
                <c:pt idx="3">
                  <c:v>50.23</c:v>
                </c:pt>
                <c:pt idx="4">
                  <c:v>58.52</c:v>
                </c:pt>
                <c:pt idx="5">
                  <c:v>65.06</c:v>
                </c:pt>
                <c:pt idx="6">
                  <c:v>81.599999999999994</c:v>
                </c:pt>
              </c:numCache>
            </c:numRef>
          </c:val>
          <c:extLst>
            <c:ext xmlns:c16="http://schemas.microsoft.com/office/drawing/2014/chart" uri="{C3380CC4-5D6E-409C-BE32-E72D297353CC}">
              <c16:uniqueId val="{00000001-6B22-426C-9925-AA4A51B00A01}"/>
            </c:ext>
          </c:extLst>
        </c:ser>
        <c:dLbls>
          <c:showLegendKey val="0"/>
          <c:showVal val="0"/>
          <c:showCatName val="0"/>
          <c:showSerName val="0"/>
          <c:showPercent val="0"/>
          <c:showBubbleSize val="0"/>
        </c:dLbls>
        <c:gapWidth val="150"/>
        <c:axId val="138303208"/>
        <c:axId val="138303600"/>
      </c:barChart>
      <c:catAx>
        <c:axId val="138303208"/>
        <c:scaling>
          <c:orientation val="minMax"/>
        </c:scaling>
        <c:delete val="0"/>
        <c:axPos val="b"/>
        <c:numFmt formatCode="General" sourceLinked="1"/>
        <c:majorTickMark val="none"/>
        <c:minorTickMark val="none"/>
        <c:tickLblPos val="nextTo"/>
        <c:crossAx val="138303600"/>
        <c:crosses val="autoZero"/>
        <c:auto val="1"/>
        <c:lblAlgn val="ctr"/>
        <c:lblOffset val="100"/>
        <c:noMultiLvlLbl val="0"/>
      </c:catAx>
      <c:valAx>
        <c:axId val="138303600"/>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38303208"/>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600"/>
              <a:t>Employment rates by age group</a:t>
            </a:r>
          </a:p>
        </c:rich>
      </c:tx>
      <c:layout>
        <c:manualLayout>
          <c:xMode val="edge"/>
          <c:yMode val="edge"/>
          <c:x val="0.232325054217735"/>
          <c:y val="2.4509803921568599E-2"/>
        </c:manualLayout>
      </c:layout>
      <c:overlay val="0"/>
    </c:title>
    <c:autoTitleDeleted val="0"/>
    <c:plotArea>
      <c:layout/>
      <c:lineChart>
        <c:grouping val="standard"/>
        <c:varyColors val="0"/>
        <c:ser>
          <c:idx val="0"/>
          <c:order val="0"/>
          <c:tx>
            <c:strRef>
              <c:f>Sheet1!$B$1</c:f>
              <c:strCache>
                <c:ptCount val="1"/>
                <c:pt idx="0">
                  <c:v>EU (disabled)</c:v>
                </c:pt>
              </c:strCache>
            </c:strRef>
          </c:tx>
          <c:cat>
            <c:strRef>
              <c:f>Sheet1!$A$2:$A$6</c:f>
              <c:strCache>
                <c:ptCount val="5"/>
                <c:pt idx="0">
                  <c:v>age 16-24*</c:v>
                </c:pt>
                <c:pt idx="1">
                  <c:v>age 25-34</c:v>
                </c:pt>
                <c:pt idx="2">
                  <c:v>age 35-44</c:v>
                </c:pt>
                <c:pt idx="3">
                  <c:v>age 45-54</c:v>
                </c:pt>
                <c:pt idx="4">
                  <c:v>age 55-64</c:v>
                </c:pt>
              </c:strCache>
            </c:strRef>
          </c:cat>
          <c:val>
            <c:numRef>
              <c:f>Sheet1!$B$2:$B$6</c:f>
              <c:numCache>
                <c:formatCode>0.0</c:formatCode>
                <c:ptCount val="5"/>
                <c:pt idx="0">
                  <c:v>22.829408000000001</c:v>
                </c:pt>
                <c:pt idx="1">
                  <c:v>58.028266000000009</c:v>
                </c:pt>
                <c:pt idx="2">
                  <c:v>61.181399999999996</c:v>
                </c:pt>
                <c:pt idx="3">
                  <c:v>58.670228000000002</c:v>
                </c:pt>
                <c:pt idx="4">
                  <c:v>34.479999000000007</c:v>
                </c:pt>
              </c:numCache>
            </c:numRef>
          </c:val>
          <c:smooth val="0"/>
          <c:extLst>
            <c:ext xmlns:c16="http://schemas.microsoft.com/office/drawing/2014/chart" uri="{C3380CC4-5D6E-409C-BE32-E72D297353CC}">
              <c16:uniqueId val="{00000000-B02C-43BF-AC34-508342DE3A1A}"/>
            </c:ext>
          </c:extLst>
        </c:ser>
        <c:ser>
          <c:idx val="1"/>
          <c:order val="1"/>
          <c:tx>
            <c:strRef>
              <c:f>Sheet1!$C$1</c:f>
              <c:strCache>
                <c:ptCount val="1"/>
                <c:pt idx="0">
                  <c:v>EU average (non-disabled)</c:v>
                </c:pt>
              </c:strCache>
            </c:strRef>
          </c:tx>
          <c:cat>
            <c:strRef>
              <c:f>Sheet1!$A$2:$A$6</c:f>
              <c:strCache>
                <c:ptCount val="5"/>
                <c:pt idx="0">
                  <c:v>age 16-24*</c:v>
                </c:pt>
                <c:pt idx="1">
                  <c:v>age 25-34</c:v>
                </c:pt>
                <c:pt idx="2">
                  <c:v>age 35-44</c:v>
                </c:pt>
                <c:pt idx="3">
                  <c:v>age 45-54</c:v>
                </c:pt>
                <c:pt idx="4">
                  <c:v>age 55-64</c:v>
                </c:pt>
              </c:strCache>
            </c:strRef>
          </c:cat>
          <c:val>
            <c:numRef>
              <c:f>Sheet1!$C$2:$C$6</c:f>
              <c:numCache>
                <c:formatCode>0.0</c:formatCode>
                <c:ptCount val="5"/>
                <c:pt idx="0">
                  <c:v>29.50390800000001</c:v>
                </c:pt>
                <c:pt idx="1">
                  <c:v>74.736654999999999</c:v>
                </c:pt>
                <c:pt idx="2">
                  <c:v>83.084423000000001</c:v>
                </c:pt>
                <c:pt idx="3">
                  <c:v>83.298991000000001</c:v>
                </c:pt>
                <c:pt idx="4">
                  <c:v>58.669817000000002</c:v>
                </c:pt>
              </c:numCache>
            </c:numRef>
          </c:val>
          <c:smooth val="0"/>
          <c:extLst>
            <c:ext xmlns:c16="http://schemas.microsoft.com/office/drawing/2014/chart" uri="{C3380CC4-5D6E-409C-BE32-E72D297353CC}">
              <c16:uniqueId val="{00000001-B02C-43BF-AC34-508342DE3A1A}"/>
            </c:ext>
          </c:extLst>
        </c:ser>
        <c:ser>
          <c:idx val="2"/>
          <c:order val="2"/>
          <c:tx>
            <c:strRef>
              <c:f>Sheet1!$D$1</c:f>
              <c:strCache>
                <c:ptCount val="1"/>
                <c:pt idx="0">
                  <c:v>National (disabled)</c:v>
                </c:pt>
              </c:strCache>
            </c:strRef>
          </c:tx>
          <c:cat>
            <c:strRef>
              <c:f>Sheet1!$A$2:$A$6</c:f>
              <c:strCache>
                <c:ptCount val="5"/>
                <c:pt idx="0">
                  <c:v>age 16-24*</c:v>
                </c:pt>
                <c:pt idx="1">
                  <c:v>age 25-34</c:v>
                </c:pt>
                <c:pt idx="2">
                  <c:v>age 35-44</c:v>
                </c:pt>
                <c:pt idx="3">
                  <c:v>age 45-54</c:v>
                </c:pt>
                <c:pt idx="4">
                  <c:v>age 55-64</c:v>
                </c:pt>
              </c:strCache>
            </c:strRef>
          </c:cat>
          <c:val>
            <c:numRef>
              <c:f>Sheet1!$D$2:$D$6</c:f>
              <c:numCache>
                <c:formatCode>0.0</c:formatCode>
                <c:ptCount val="5"/>
                <c:pt idx="0">
                  <c:v>47.427403000000012</c:v>
                </c:pt>
                <c:pt idx="1">
                  <c:v>62.521209000000013</c:v>
                </c:pt>
                <c:pt idx="2">
                  <c:v>66.882613999999975</c:v>
                </c:pt>
                <c:pt idx="3">
                  <c:v>65.823778999999774</c:v>
                </c:pt>
                <c:pt idx="4">
                  <c:v>31.549015000000001</c:v>
                </c:pt>
              </c:numCache>
            </c:numRef>
          </c:val>
          <c:smooth val="0"/>
          <c:extLst>
            <c:ext xmlns:c16="http://schemas.microsoft.com/office/drawing/2014/chart" uri="{C3380CC4-5D6E-409C-BE32-E72D297353CC}">
              <c16:uniqueId val="{00000002-B02C-43BF-AC34-508342DE3A1A}"/>
            </c:ext>
          </c:extLst>
        </c:ser>
        <c:ser>
          <c:idx val="3"/>
          <c:order val="3"/>
          <c:tx>
            <c:strRef>
              <c:f>Sheet1!$E$1</c:f>
              <c:strCache>
                <c:ptCount val="1"/>
                <c:pt idx="0">
                  <c:v>National (non-disabled)</c:v>
                </c:pt>
              </c:strCache>
            </c:strRef>
          </c:tx>
          <c:cat>
            <c:strRef>
              <c:f>Sheet1!$A$2:$A$6</c:f>
              <c:strCache>
                <c:ptCount val="5"/>
                <c:pt idx="0">
                  <c:v>age 16-24*</c:v>
                </c:pt>
                <c:pt idx="1">
                  <c:v>age 25-34</c:v>
                </c:pt>
                <c:pt idx="2">
                  <c:v>age 35-44</c:v>
                </c:pt>
                <c:pt idx="3">
                  <c:v>age 45-54</c:v>
                </c:pt>
                <c:pt idx="4">
                  <c:v>age 55-64</c:v>
                </c:pt>
              </c:strCache>
            </c:strRef>
          </c:cat>
          <c:val>
            <c:numRef>
              <c:f>Sheet1!$E$2:$E$6</c:f>
              <c:numCache>
                <c:formatCode>0.0</c:formatCode>
                <c:ptCount val="5"/>
                <c:pt idx="0">
                  <c:v>46.029540000000011</c:v>
                </c:pt>
                <c:pt idx="1">
                  <c:v>73.202311999999978</c:v>
                </c:pt>
                <c:pt idx="2">
                  <c:v>85.676238999999839</c:v>
                </c:pt>
                <c:pt idx="3">
                  <c:v>87.444217000000094</c:v>
                </c:pt>
                <c:pt idx="4">
                  <c:v>50.483384000000001</c:v>
                </c:pt>
              </c:numCache>
            </c:numRef>
          </c:val>
          <c:smooth val="0"/>
          <c:extLst>
            <c:ext xmlns:c16="http://schemas.microsoft.com/office/drawing/2014/chart" uri="{C3380CC4-5D6E-409C-BE32-E72D297353CC}">
              <c16:uniqueId val="{00000003-B02C-43BF-AC34-508342DE3A1A}"/>
            </c:ext>
          </c:extLst>
        </c:ser>
        <c:dLbls>
          <c:showLegendKey val="0"/>
          <c:showVal val="0"/>
          <c:showCatName val="0"/>
          <c:showSerName val="0"/>
          <c:showPercent val="0"/>
          <c:showBubbleSize val="0"/>
        </c:dLbls>
        <c:marker val="1"/>
        <c:smooth val="0"/>
        <c:axId val="139855488"/>
        <c:axId val="139855880"/>
      </c:lineChart>
      <c:catAx>
        <c:axId val="139855488"/>
        <c:scaling>
          <c:orientation val="minMax"/>
        </c:scaling>
        <c:delete val="0"/>
        <c:axPos val="b"/>
        <c:numFmt formatCode="General" sourceLinked="1"/>
        <c:majorTickMark val="none"/>
        <c:minorTickMark val="none"/>
        <c:tickLblPos val="nextTo"/>
        <c:crossAx val="139855880"/>
        <c:crosses val="autoZero"/>
        <c:auto val="1"/>
        <c:lblAlgn val="ctr"/>
        <c:lblOffset val="100"/>
        <c:noMultiLvlLbl val="0"/>
      </c:catAx>
      <c:valAx>
        <c:axId val="139855880"/>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3985548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600"/>
              <a:t>National</a:t>
            </a:r>
            <a:r>
              <a:rPr lang="en-GB" sz="1600" baseline="0"/>
              <a:t> t</a:t>
            </a:r>
            <a:r>
              <a:rPr lang="en-GB" sz="1600"/>
              <a:t>rends in employment rates</a:t>
            </a:r>
          </a:p>
        </c:rich>
      </c:tx>
      <c:overlay val="0"/>
    </c:title>
    <c:autoTitleDeleted val="0"/>
    <c:plotArea>
      <c:layout/>
      <c:lineChart>
        <c:grouping val="standard"/>
        <c:varyColors val="0"/>
        <c:ser>
          <c:idx val="0"/>
          <c:order val="0"/>
          <c:tx>
            <c:strRef>
              <c:f>Sheet1!$B$1</c:f>
              <c:strCache>
                <c:ptCount val="1"/>
                <c:pt idx="0">
                  <c:v>Disabled women</c:v>
                </c:pt>
              </c:strCache>
            </c:strRef>
          </c:tx>
          <c:cat>
            <c:numRef>
              <c:f>Sheet1!$A$2:$A$8</c:f>
              <c:numCache>
                <c:formatCode>General</c:formatCode>
                <c:ptCount val="7"/>
                <c:pt idx="0">
                  <c:v>2008</c:v>
                </c:pt>
                <c:pt idx="1">
                  <c:v>2009</c:v>
                </c:pt>
                <c:pt idx="2">
                  <c:v>2010</c:v>
                </c:pt>
                <c:pt idx="3">
                  <c:v>2011</c:v>
                </c:pt>
                <c:pt idx="4">
                  <c:v>2012</c:v>
                </c:pt>
                <c:pt idx="5">
                  <c:v>2013</c:v>
                </c:pt>
                <c:pt idx="6">
                  <c:v>2014</c:v>
                </c:pt>
              </c:numCache>
            </c:numRef>
          </c:cat>
          <c:val>
            <c:numRef>
              <c:f>Sheet1!$B$2:$B$8</c:f>
              <c:numCache>
                <c:formatCode>General</c:formatCode>
                <c:ptCount val="7"/>
                <c:pt idx="0">
                  <c:v>43.9</c:v>
                </c:pt>
                <c:pt idx="1">
                  <c:v>43.1</c:v>
                </c:pt>
                <c:pt idx="2">
                  <c:v>41.9</c:v>
                </c:pt>
                <c:pt idx="3">
                  <c:v>46.8</c:v>
                </c:pt>
                <c:pt idx="4">
                  <c:v>44.9</c:v>
                </c:pt>
                <c:pt idx="5">
                  <c:v>45.7</c:v>
                </c:pt>
                <c:pt idx="6" formatCode="0.0">
                  <c:v>50.23</c:v>
                </c:pt>
              </c:numCache>
            </c:numRef>
          </c:val>
          <c:smooth val="0"/>
          <c:extLst>
            <c:ext xmlns:c16="http://schemas.microsoft.com/office/drawing/2014/chart" uri="{C3380CC4-5D6E-409C-BE32-E72D297353CC}">
              <c16:uniqueId val="{00000000-B476-451A-BB6B-5547AD310B93}"/>
            </c:ext>
          </c:extLst>
        </c:ser>
        <c:ser>
          <c:idx val="1"/>
          <c:order val="1"/>
          <c:tx>
            <c:strRef>
              <c:f>Sheet1!$C$1</c:f>
              <c:strCache>
                <c:ptCount val="1"/>
                <c:pt idx="0">
                  <c:v>Disabled men</c:v>
                </c:pt>
              </c:strCache>
            </c:strRef>
          </c:tx>
          <c:cat>
            <c:numRef>
              <c:f>Sheet1!$A$2:$A$8</c:f>
              <c:numCache>
                <c:formatCode>General</c:formatCode>
                <c:ptCount val="7"/>
                <c:pt idx="0">
                  <c:v>2008</c:v>
                </c:pt>
                <c:pt idx="1">
                  <c:v>2009</c:v>
                </c:pt>
                <c:pt idx="2">
                  <c:v>2010</c:v>
                </c:pt>
                <c:pt idx="3">
                  <c:v>2011</c:v>
                </c:pt>
                <c:pt idx="4">
                  <c:v>2012</c:v>
                </c:pt>
                <c:pt idx="5">
                  <c:v>2013</c:v>
                </c:pt>
                <c:pt idx="6">
                  <c:v>2014</c:v>
                </c:pt>
              </c:numCache>
            </c:numRef>
          </c:cat>
          <c:val>
            <c:numRef>
              <c:f>Sheet1!$C$2:$C$8</c:f>
              <c:numCache>
                <c:formatCode>General</c:formatCode>
                <c:ptCount val="7"/>
                <c:pt idx="0">
                  <c:v>55.8</c:v>
                </c:pt>
                <c:pt idx="1">
                  <c:v>53.5</c:v>
                </c:pt>
                <c:pt idx="2">
                  <c:v>55.8</c:v>
                </c:pt>
                <c:pt idx="3">
                  <c:v>54.3</c:v>
                </c:pt>
                <c:pt idx="4">
                  <c:v>54.1</c:v>
                </c:pt>
                <c:pt idx="5">
                  <c:v>53.3</c:v>
                </c:pt>
                <c:pt idx="6" formatCode="0.0">
                  <c:v>58.52</c:v>
                </c:pt>
              </c:numCache>
            </c:numRef>
          </c:val>
          <c:smooth val="0"/>
          <c:extLst>
            <c:ext xmlns:c16="http://schemas.microsoft.com/office/drawing/2014/chart" uri="{C3380CC4-5D6E-409C-BE32-E72D297353CC}">
              <c16:uniqueId val="{00000001-B476-451A-BB6B-5547AD310B93}"/>
            </c:ext>
          </c:extLst>
        </c:ser>
        <c:ser>
          <c:idx val="2"/>
          <c:order val="2"/>
          <c:tx>
            <c:strRef>
              <c:f>Sheet1!$D$1</c:f>
              <c:strCache>
                <c:ptCount val="1"/>
                <c:pt idx="0">
                  <c:v>Non-disabled women</c:v>
                </c:pt>
              </c:strCache>
            </c:strRef>
          </c:tx>
          <c:cat>
            <c:numRef>
              <c:f>Sheet1!$A$2:$A$8</c:f>
              <c:numCache>
                <c:formatCode>General</c:formatCode>
                <c:ptCount val="7"/>
                <c:pt idx="0">
                  <c:v>2008</c:v>
                </c:pt>
                <c:pt idx="1">
                  <c:v>2009</c:v>
                </c:pt>
                <c:pt idx="2">
                  <c:v>2010</c:v>
                </c:pt>
                <c:pt idx="3">
                  <c:v>2011</c:v>
                </c:pt>
                <c:pt idx="4">
                  <c:v>2012</c:v>
                </c:pt>
                <c:pt idx="5">
                  <c:v>2013</c:v>
                </c:pt>
                <c:pt idx="6">
                  <c:v>2014</c:v>
                </c:pt>
              </c:numCache>
            </c:numRef>
          </c:cat>
          <c:val>
            <c:numRef>
              <c:f>Sheet1!$D$2:$D$8</c:f>
              <c:numCache>
                <c:formatCode>General</c:formatCode>
                <c:ptCount val="7"/>
                <c:pt idx="0">
                  <c:v>64</c:v>
                </c:pt>
                <c:pt idx="1">
                  <c:v>65.400000000000006</c:v>
                </c:pt>
                <c:pt idx="2">
                  <c:v>65</c:v>
                </c:pt>
                <c:pt idx="3">
                  <c:v>65.099999999999994</c:v>
                </c:pt>
                <c:pt idx="4">
                  <c:v>65.7</c:v>
                </c:pt>
                <c:pt idx="5">
                  <c:v>65.8</c:v>
                </c:pt>
                <c:pt idx="6" formatCode="0.0">
                  <c:v>65.06</c:v>
                </c:pt>
              </c:numCache>
            </c:numRef>
          </c:val>
          <c:smooth val="0"/>
          <c:extLst>
            <c:ext xmlns:c16="http://schemas.microsoft.com/office/drawing/2014/chart" uri="{C3380CC4-5D6E-409C-BE32-E72D297353CC}">
              <c16:uniqueId val="{00000002-B476-451A-BB6B-5547AD310B93}"/>
            </c:ext>
          </c:extLst>
        </c:ser>
        <c:ser>
          <c:idx val="3"/>
          <c:order val="3"/>
          <c:tx>
            <c:strRef>
              <c:f>Sheet1!$E$1</c:f>
              <c:strCache>
                <c:ptCount val="1"/>
                <c:pt idx="0">
                  <c:v>Non-disabled men</c:v>
                </c:pt>
              </c:strCache>
            </c:strRef>
          </c:tx>
          <c:cat>
            <c:numRef>
              <c:f>Sheet1!$A$2:$A$8</c:f>
              <c:numCache>
                <c:formatCode>General</c:formatCode>
                <c:ptCount val="7"/>
                <c:pt idx="0">
                  <c:v>2008</c:v>
                </c:pt>
                <c:pt idx="1">
                  <c:v>2009</c:v>
                </c:pt>
                <c:pt idx="2">
                  <c:v>2010</c:v>
                </c:pt>
                <c:pt idx="3">
                  <c:v>2011</c:v>
                </c:pt>
                <c:pt idx="4">
                  <c:v>2012</c:v>
                </c:pt>
                <c:pt idx="5">
                  <c:v>2013</c:v>
                </c:pt>
                <c:pt idx="6">
                  <c:v>2014</c:v>
                </c:pt>
              </c:numCache>
            </c:numRef>
          </c:cat>
          <c:val>
            <c:numRef>
              <c:f>Sheet1!$E$2:$E$8</c:f>
              <c:numCache>
                <c:formatCode>General</c:formatCode>
                <c:ptCount val="7"/>
                <c:pt idx="0">
                  <c:v>84.1</c:v>
                </c:pt>
                <c:pt idx="1">
                  <c:v>81.099999999999994</c:v>
                </c:pt>
                <c:pt idx="2">
                  <c:v>81.400000000000006</c:v>
                </c:pt>
                <c:pt idx="3">
                  <c:v>81.599999999999994</c:v>
                </c:pt>
                <c:pt idx="4">
                  <c:v>83.4</c:v>
                </c:pt>
                <c:pt idx="5">
                  <c:v>82.1</c:v>
                </c:pt>
                <c:pt idx="6" formatCode="0.0">
                  <c:v>81.599999999999994</c:v>
                </c:pt>
              </c:numCache>
            </c:numRef>
          </c:val>
          <c:smooth val="0"/>
          <c:extLst>
            <c:ext xmlns:c16="http://schemas.microsoft.com/office/drawing/2014/chart" uri="{C3380CC4-5D6E-409C-BE32-E72D297353CC}">
              <c16:uniqueId val="{00000003-B476-451A-BB6B-5547AD310B93}"/>
            </c:ext>
          </c:extLst>
        </c:ser>
        <c:ser>
          <c:idx val="4"/>
          <c:order val="4"/>
          <c:tx>
            <c:strRef>
              <c:f>Sheet1!$F$1</c:f>
              <c:strCache>
                <c:ptCount val="1"/>
                <c:pt idx="0">
                  <c:v>EU average (total)</c:v>
                </c:pt>
              </c:strCache>
            </c:strRef>
          </c:tx>
          <c:cat>
            <c:numRef>
              <c:f>Sheet1!$A$2:$A$8</c:f>
              <c:numCache>
                <c:formatCode>General</c:formatCode>
                <c:ptCount val="7"/>
                <c:pt idx="0">
                  <c:v>2008</c:v>
                </c:pt>
                <c:pt idx="1">
                  <c:v>2009</c:v>
                </c:pt>
                <c:pt idx="2">
                  <c:v>2010</c:v>
                </c:pt>
                <c:pt idx="3">
                  <c:v>2011</c:v>
                </c:pt>
                <c:pt idx="4">
                  <c:v>2012</c:v>
                </c:pt>
                <c:pt idx="5">
                  <c:v>2013</c:v>
                </c:pt>
                <c:pt idx="6">
                  <c:v>2014</c:v>
                </c:pt>
              </c:numCache>
            </c:numRef>
          </c:cat>
          <c:val>
            <c:numRef>
              <c:f>Sheet1!$F$2:$F$8</c:f>
              <c:numCache>
                <c:formatCode>General</c:formatCode>
                <c:ptCount val="7"/>
                <c:pt idx="0">
                  <c:v>68.7</c:v>
                </c:pt>
                <c:pt idx="1">
                  <c:v>67.599999999999994</c:v>
                </c:pt>
                <c:pt idx="2">
                  <c:v>67.2</c:v>
                </c:pt>
                <c:pt idx="3">
                  <c:v>67.2</c:v>
                </c:pt>
                <c:pt idx="4">
                  <c:v>67</c:v>
                </c:pt>
                <c:pt idx="5">
                  <c:v>66.900000000000006</c:v>
                </c:pt>
                <c:pt idx="6" formatCode="0.0">
                  <c:v>67.8</c:v>
                </c:pt>
              </c:numCache>
            </c:numRef>
          </c:val>
          <c:smooth val="0"/>
          <c:extLst>
            <c:ext xmlns:c16="http://schemas.microsoft.com/office/drawing/2014/chart" uri="{C3380CC4-5D6E-409C-BE32-E72D297353CC}">
              <c16:uniqueId val="{00000004-B476-451A-BB6B-5547AD310B93}"/>
            </c:ext>
          </c:extLst>
        </c:ser>
        <c:dLbls>
          <c:showLegendKey val="0"/>
          <c:showVal val="0"/>
          <c:showCatName val="0"/>
          <c:showSerName val="0"/>
          <c:showPercent val="0"/>
          <c:showBubbleSize val="0"/>
        </c:dLbls>
        <c:marker val="1"/>
        <c:smooth val="0"/>
        <c:axId val="139857056"/>
        <c:axId val="139857448"/>
      </c:lineChart>
      <c:catAx>
        <c:axId val="139857056"/>
        <c:scaling>
          <c:orientation val="minMax"/>
        </c:scaling>
        <c:delete val="0"/>
        <c:axPos val="b"/>
        <c:numFmt formatCode="General" sourceLinked="1"/>
        <c:majorTickMark val="none"/>
        <c:minorTickMark val="none"/>
        <c:tickLblPos val="nextTo"/>
        <c:crossAx val="139857448"/>
        <c:crosses val="autoZero"/>
        <c:auto val="1"/>
        <c:lblAlgn val="ctr"/>
        <c:lblOffset val="100"/>
        <c:noMultiLvlLbl val="0"/>
      </c:catAx>
      <c:valAx>
        <c:axId val="139857448"/>
        <c:scaling>
          <c:orientation val="minMax"/>
        </c:scaling>
        <c:delete val="0"/>
        <c:axPos val="l"/>
        <c:majorGridlines/>
        <c:title>
          <c:tx>
            <c:rich>
              <a:bodyPr/>
              <a:lstStyle/>
              <a:p>
                <a:pPr>
                  <a:defRPr/>
                </a:pPr>
                <a:r>
                  <a:rPr lang="en-GB"/>
                  <a:t>%</a:t>
                </a:r>
              </a:p>
            </c:rich>
          </c:tx>
          <c:overlay val="0"/>
        </c:title>
        <c:numFmt formatCode="General" sourceLinked="1"/>
        <c:majorTickMark val="none"/>
        <c:minorTickMark val="none"/>
        <c:tickLblPos val="nextTo"/>
        <c:crossAx val="13985705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en-GB" sz="1600"/>
              <a:t>Overview of unemployment rates</a:t>
            </a:r>
          </a:p>
        </c:rich>
      </c:tx>
      <c:overlay val="0"/>
    </c:title>
    <c:autoTitleDeleted val="0"/>
    <c:plotArea>
      <c:layout/>
      <c:barChart>
        <c:barDir val="col"/>
        <c:grouping val="clustered"/>
        <c:varyColors val="0"/>
        <c:ser>
          <c:idx val="0"/>
          <c:order val="0"/>
          <c:tx>
            <c:strRef>
              <c:f>Sheet1!$B$1</c:f>
              <c:strCache>
                <c:ptCount val="1"/>
                <c:pt idx="0">
                  <c:v>EU average</c:v>
                </c:pt>
              </c:strCache>
            </c:strRef>
          </c:tx>
          <c:invertIfNegative val="0"/>
          <c:cat>
            <c:strRef>
              <c:f>Sheet1!$A$2:$A$5</c:f>
              <c:strCache>
                <c:ptCount val="4"/>
                <c:pt idx="0">
                  <c:v>Disabled women</c:v>
                </c:pt>
                <c:pt idx="1">
                  <c:v>Disabled men</c:v>
                </c:pt>
                <c:pt idx="2">
                  <c:v>Non-disabled women</c:v>
                </c:pt>
                <c:pt idx="3">
                  <c:v>Non-disabled men</c:v>
                </c:pt>
              </c:strCache>
            </c:strRef>
          </c:cat>
          <c:val>
            <c:numRef>
              <c:f>Sheet1!$B$2:$B$5</c:f>
              <c:numCache>
                <c:formatCode>0.0</c:formatCode>
                <c:ptCount val="4"/>
                <c:pt idx="0">
                  <c:v>18.850000000000001</c:v>
                </c:pt>
                <c:pt idx="1">
                  <c:v>20.32</c:v>
                </c:pt>
                <c:pt idx="2">
                  <c:v>11.21</c:v>
                </c:pt>
                <c:pt idx="3">
                  <c:v>11.33</c:v>
                </c:pt>
              </c:numCache>
            </c:numRef>
          </c:val>
          <c:extLst>
            <c:ext xmlns:c16="http://schemas.microsoft.com/office/drawing/2014/chart" uri="{C3380CC4-5D6E-409C-BE32-E72D297353CC}">
              <c16:uniqueId val="{00000000-2301-4FBD-AB81-5FFD32585002}"/>
            </c:ext>
          </c:extLst>
        </c:ser>
        <c:ser>
          <c:idx val="1"/>
          <c:order val="1"/>
          <c:tx>
            <c:strRef>
              <c:f>Sheet1!$C$1</c:f>
              <c:strCache>
                <c:ptCount val="1"/>
                <c:pt idx="0">
                  <c:v>National average</c:v>
                </c:pt>
              </c:strCache>
            </c:strRef>
          </c:tx>
          <c:invertIfNegative val="0"/>
          <c:cat>
            <c:strRef>
              <c:f>Sheet1!$A$2:$A$5</c:f>
              <c:strCache>
                <c:ptCount val="4"/>
                <c:pt idx="0">
                  <c:v>Disabled women</c:v>
                </c:pt>
                <c:pt idx="1">
                  <c:v>Disabled men</c:v>
                </c:pt>
                <c:pt idx="2">
                  <c:v>Non-disabled women</c:v>
                </c:pt>
                <c:pt idx="3">
                  <c:v>Non-disabled men</c:v>
                </c:pt>
              </c:strCache>
            </c:strRef>
          </c:cat>
          <c:val>
            <c:numRef>
              <c:f>Sheet1!$C$2:$C$5</c:f>
              <c:numCache>
                <c:formatCode>0.0</c:formatCode>
                <c:ptCount val="4"/>
                <c:pt idx="0">
                  <c:v>19.079999999999991</c:v>
                </c:pt>
                <c:pt idx="1">
                  <c:v>17.75</c:v>
                </c:pt>
                <c:pt idx="2">
                  <c:v>6.96</c:v>
                </c:pt>
                <c:pt idx="3">
                  <c:v>6.79</c:v>
                </c:pt>
              </c:numCache>
            </c:numRef>
          </c:val>
          <c:extLst>
            <c:ext xmlns:c16="http://schemas.microsoft.com/office/drawing/2014/chart" uri="{C3380CC4-5D6E-409C-BE32-E72D297353CC}">
              <c16:uniqueId val="{00000001-2301-4FBD-AB81-5FFD32585002}"/>
            </c:ext>
          </c:extLst>
        </c:ser>
        <c:dLbls>
          <c:showLegendKey val="0"/>
          <c:showVal val="0"/>
          <c:showCatName val="0"/>
          <c:showSerName val="0"/>
          <c:showPercent val="0"/>
          <c:showBubbleSize val="0"/>
        </c:dLbls>
        <c:gapWidth val="150"/>
        <c:axId val="139858624"/>
        <c:axId val="139859016"/>
      </c:barChart>
      <c:catAx>
        <c:axId val="139858624"/>
        <c:scaling>
          <c:orientation val="minMax"/>
        </c:scaling>
        <c:delete val="0"/>
        <c:axPos val="b"/>
        <c:numFmt formatCode="General" sourceLinked="1"/>
        <c:majorTickMark val="none"/>
        <c:minorTickMark val="none"/>
        <c:tickLblPos val="nextTo"/>
        <c:crossAx val="139859016"/>
        <c:crosses val="autoZero"/>
        <c:auto val="1"/>
        <c:lblAlgn val="ctr"/>
        <c:lblOffset val="100"/>
        <c:noMultiLvlLbl val="0"/>
      </c:catAx>
      <c:valAx>
        <c:axId val="139859016"/>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39858624"/>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600"/>
              <a:t>Unemployment rates by age group</a:t>
            </a:r>
          </a:p>
        </c:rich>
      </c:tx>
      <c:layout>
        <c:manualLayout>
          <c:xMode val="edge"/>
          <c:yMode val="edge"/>
          <c:x val="0.232325054217735"/>
          <c:y val="2.4509803921568599E-2"/>
        </c:manualLayout>
      </c:layout>
      <c:overlay val="0"/>
    </c:title>
    <c:autoTitleDeleted val="0"/>
    <c:plotArea>
      <c:layout/>
      <c:lineChart>
        <c:grouping val="standard"/>
        <c:varyColors val="0"/>
        <c:ser>
          <c:idx val="0"/>
          <c:order val="0"/>
          <c:tx>
            <c:strRef>
              <c:f>Sheet1!$B$1</c:f>
              <c:strCache>
                <c:ptCount val="1"/>
                <c:pt idx="0">
                  <c:v>EU (disabled)</c:v>
                </c:pt>
              </c:strCache>
            </c:strRef>
          </c:tx>
          <c:cat>
            <c:strRef>
              <c:f>Sheet1!$A$2:$A$6</c:f>
              <c:strCache>
                <c:ptCount val="5"/>
                <c:pt idx="0">
                  <c:v>age 16-24</c:v>
                </c:pt>
                <c:pt idx="1">
                  <c:v>age 25-34</c:v>
                </c:pt>
                <c:pt idx="2">
                  <c:v>age 35-44</c:v>
                </c:pt>
                <c:pt idx="3">
                  <c:v>age 45-54</c:v>
                </c:pt>
                <c:pt idx="4">
                  <c:v>age 55-64</c:v>
                </c:pt>
              </c:strCache>
            </c:strRef>
          </c:cat>
          <c:val>
            <c:numRef>
              <c:f>Sheet1!$B$2:$B$6</c:f>
              <c:numCache>
                <c:formatCode>0.0</c:formatCode>
                <c:ptCount val="5"/>
                <c:pt idx="0">
                  <c:v>32.687963000000003</c:v>
                </c:pt>
                <c:pt idx="1">
                  <c:v>20.359805999999999</c:v>
                </c:pt>
                <c:pt idx="2">
                  <c:v>18.487116</c:v>
                </c:pt>
                <c:pt idx="3">
                  <c:v>17.422888</c:v>
                </c:pt>
                <c:pt idx="4">
                  <c:v>21.415215</c:v>
                </c:pt>
              </c:numCache>
            </c:numRef>
          </c:val>
          <c:smooth val="0"/>
          <c:extLst>
            <c:ext xmlns:c16="http://schemas.microsoft.com/office/drawing/2014/chart" uri="{C3380CC4-5D6E-409C-BE32-E72D297353CC}">
              <c16:uniqueId val="{00000000-0D3E-479D-884C-64EBA4591FFF}"/>
            </c:ext>
          </c:extLst>
        </c:ser>
        <c:ser>
          <c:idx val="1"/>
          <c:order val="1"/>
          <c:tx>
            <c:strRef>
              <c:f>Sheet1!$C$1</c:f>
              <c:strCache>
                <c:ptCount val="1"/>
                <c:pt idx="0">
                  <c:v>EU (non-disabled)</c:v>
                </c:pt>
              </c:strCache>
            </c:strRef>
          </c:tx>
          <c:cat>
            <c:strRef>
              <c:f>Sheet1!$A$2:$A$6</c:f>
              <c:strCache>
                <c:ptCount val="5"/>
                <c:pt idx="0">
                  <c:v>age 16-24</c:v>
                </c:pt>
                <c:pt idx="1">
                  <c:v>age 25-34</c:v>
                </c:pt>
                <c:pt idx="2">
                  <c:v>age 35-44</c:v>
                </c:pt>
                <c:pt idx="3">
                  <c:v>age 45-54</c:v>
                </c:pt>
                <c:pt idx="4">
                  <c:v>age 55-64</c:v>
                </c:pt>
              </c:strCache>
            </c:strRef>
          </c:cat>
          <c:val>
            <c:numRef>
              <c:f>Sheet1!$C$2:$C$6</c:f>
              <c:numCache>
                <c:formatCode>0.0</c:formatCode>
                <c:ptCount val="5"/>
                <c:pt idx="0">
                  <c:v>24.095903</c:v>
                </c:pt>
                <c:pt idx="1">
                  <c:v>13.235832</c:v>
                </c:pt>
                <c:pt idx="2">
                  <c:v>9.2554619999999996</c:v>
                </c:pt>
                <c:pt idx="3">
                  <c:v>8.8413529999999962</c:v>
                </c:pt>
                <c:pt idx="4">
                  <c:v>10.287749</c:v>
                </c:pt>
              </c:numCache>
            </c:numRef>
          </c:val>
          <c:smooth val="0"/>
          <c:extLst>
            <c:ext xmlns:c16="http://schemas.microsoft.com/office/drawing/2014/chart" uri="{C3380CC4-5D6E-409C-BE32-E72D297353CC}">
              <c16:uniqueId val="{00000001-0D3E-479D-884C-64EBA4591FFF}"/>
            </c:ext>
          </c:extLst>
        </c:ser>
        <c:ser>
          <c:idx val="2"/>
          <c:order val="2"/>
          <c:tx>
            <c:strRef>
              <c:f>Sheet1!$D$1</c:f>
              <c:strCache>
                <c:ptCount val="1"/>
                <c:pt idx="0">
                  <c:v>National (disabled)</c:v>
                </c:pt>
              </c:strCache>
            </c:strRef>
          </c:tx>
          <c:cat>
            <c:strRef>
              <c:f>Sheet1!$A$2:$A$6</c:f>
              <c:strCache>
                <c:ptCount val="5"/>
                <c:pt idx="0">
                  <c:v>age 16-24</c:v>
                </c:pt>
                <c:pt idx="1">
                  <c:v>age 25-34</c:v>
                </c:pt>
                <c:pt idx="2">
                  <c:v>age 35-44</c:v>
                </c:pt>
                <c:pt idx="3">
                  <c:v>age 45-54</c:v>
                </c:pt>
                <c:pt idx="4">
                  <c:v>age 55-64</c:v>
                </c:pt>
              </c:strCache>
            </c:strRef>
          </c:cat>
          <c:val>
            <c:numRef>
              <c:f>Sheet1!$D$2:$D$6</c:f>
              <c:numCache>
                <c:formatCode>0.0</c:formatCode>
                <c:ptCount val="5"/>
                <c:pt idx="0">
                  <c:v>21.273533</c:v>
                </c:pt>
                <c:pt idx="1">
                  <c:v>15.971696</c:v>
                </c:pt>
                <c:pt idx="2">
                  <c:v>21.553086</c:v>
                </c:pt>
                <c:pt idx="3">
                  <c:v>16.716650999999999</c:v>
                </c:pt>
                <c:pt idx="4">
                  <c:v>18.473496000000001</c:v>
                </c:pt>
              </c:numCache>
            </c:numRef>
          </c:val>
          <c:smooth val="0"/>
          <c:extLst>
            <c:ext xmlns:c16="http://schemas.microsoft.com/office/drawing/2014/chart" uri="{C3380CC4-5D6E-409C-BE32-E72D297353CC}">
              <c16:uniqueId val="{00000002-0D3E-479D-884C-64EBA4591FFF}"/>
            </c:ext>
          </c:extLst>
        </c:ser>
        <c:ser>
          <c:idx val="3"/>
          <c:order val="3"/>
          <c:tx>
            <c:strRef>
              <c:f>Sheet1!$E$1</c:f>
              <c:strCache>
                <c:ptCount val="1"/>
                <c:pt idx="0">
                  <c:v>National (non-disabled)</c:v>
                </c:pt>
              </c:strCache>
            </c:strRef>
          </c:tx>
          <c:cat>
            <c:strRef>
              <c:f>Sheet1!$A$2:$A$6</c:f>
              <c:strCache>
                <c:ptCount val="5"/>
                <c:pt idx="0">
                  <c:v>age 16-24</c:v>
                </c:pt>
                <c:pt idx="1">
                  <c:v>age 25-34</c:v>
                </c:pt>
                <c:pt idx="2">
                  <c:v>age 35-44</c:v>
                </c:pt>
                <c:pt idx="3">
                  <c:v>age 45-54</c:v>
                </c:pt>
                <c:pt idx="4">
                  <c:v>age 55-64</c:v>
                </c:pt>
              </c:strCache>
            </c:strRef>
          </c:cat>
          <c:val>
            <c:numRef>
              <c:f>Sheet1!$E$2:$E$6</c:f>
              <c:numCache>
                <c:formatCode>0.0</c:formatCode>
                <c:ptCount val="5"/>
                <c:pt idx="0">
                  <c:v>12.327832000000001</c:v>
                </c:pt>
                <c:pt idx="1">
                  <c:v>8.9341830000000009</c:v>
                </c:pt>
                <c:pt idx="2">
                  <c:v>4.8820549999999887</c:v>
                </c:pt>
                <c:pt idx="3">
                  <c:v>6.1238379999999877</c:v>
                </c:pt>
                <c:pt idx="4">
                  <c:v>5.8569869999999877</c:v>
                </c:pt>
              </c:numCache>
            </c:numRef>
          </c:val>
          <c:smooth val="0"/>
          <c:extLst>
            <c:ext xmlns:c16="http://schemas.microsoft.com/office/drawing/2014/chart" uri="{C3380CC4-5D6E-409C-BE32-E72D297353CC}">
              <c16:uniqueId val="{00000003-0D3E-479D-884C-64EBA4591FFF}"/>
            </c:ext>
          </c:extLst>
        </c:ser>
        <c:dLbls>
          <c:showLegendKey val="0"/>
          <c:showVal val="0"/>
          <c:showCatName val="0"/>
          <c:showSerName val="0"/>
          <c:showPercent val="0"/>
          <c:showBubbleSize val="0"/>
        </c:dLbls>
        <c:marker val="1"/>
        <c:smooth val="0"/>
        <c:axId val="139580528"/>
        <c:axId val="139580920"/>
      </c:lineChart>
      <c:catAx>
        <c:axId val="139580528"/>
        <c:scaling>
          <c:orientation val="minMax"/>
        </c:scaling>
        <c:delete val="0"/>
        <c:axPos val="b"/>
        <c:numFmt formatCode="General" sourceLinked="1"/>
        <c:majorTickMark val="none"/>
        <c:minorTickMark val="none"/>
        <c:tickLblPos val="nextTo"/>
        <c:crossAx val="139580920"/>
        <c:crosses val="autoZero"/>
        <c:auto val="1"/>
        <c:lblAlgn val="ctr"/>
        <c:lblOffset val="100"/>
        <c:noMultiLvlLbl val="0"/>
      </c:catAx>
      <c:valAx>
        <c:axId val="139580920"/>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39580528"/>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600"/>
              <a:t>National</a:t>
            </a:r>
            <a:r>
              <a:rPr lang="en-GB" sz="1600" baseline="0"/>
              <a:t> t</a:t>
            </a:r>
            <a:r>
              <a:rPr lang="en-GB" sz="1600"/>
              <a:t>rends in unemployment rates</a:t>
            </a:r>
          </a:p>
        </c:rich>
      </c:tx>
      <c:overlay val="0"/>
    </c:title>
    <c:autoTitleDeleted val="0"/>
    <c:plotArea>
      <c:layout/>
      <c:lineChart>
        <c:grouping val="standard"/>
        <c:varyColors val="0"/>
        <c:ser>
          <c:idx val="0"/>
          <c:order val="0"/>
          <c:tx>
            <c:strRef>
              <c:f>Sheet1!$B$1</c:f>
              <c:strCache>
                <c:ptCount val="1"/>
                <c:pt idx="0">
                  <c:v>Disabled women</c:v>
                </c:pt>
              </c:strCache>
            </c:strRef>
          </c:tx>
          <c:cat>
            <c:numRef>
              <c:f>Sheet1!$A$2:$A$8</c:f>
              <c:numCache>
                <c:formatCode>General</c:formatCode>
                <c:ptCount val="7"/>
                <c:pt idx="0">
                  <c:v>2008</c:v>
                </c:pt>
                <c:pt idx="1">
                  <c:v>2009</c:v>
                </c:pt>
                <c:pt idx="2">
                  <c:v>2010</c:v>
                </c:pt>
                <c:pt idx="3">
                  <c:v>2011</c:v>
                </c:pt>
                <c:pt idx="4">
                  <c:v>2012</c:v>
                </c:pt>
                <c:pt idx="5">
                  <c:v>2013</c:v>
                </c:pt>
                <c:pt idx="6">
                  <c:v>2014</c:v>
                </c:pt>
              </c:numCache>
            </c:numRef>
          </c:cat>
          <c:val>
            <c:numRef>
              <c:f>Sheet1!$B$2:$B$8</c:f>
              <c:numCache>
                <c:formatCode>General</c:formatCode>
                <c:ptCount val="7"/>
                <c:pt idx="0">
                  <c:v>15.5</c:v>
                </c:pt>
                <c:pt idx="1">
                  <c:v>19.7</c:v>
                </c:pt>
                <c:pt idx="2">
                  <c:v>19.7</c:v>
                </c:pt>
                <c:pt idx="3">
                  <c:v>17.3</c:v>
                </c:pt>
                <c:pt idx="4">
                  <c:v>17.100000000000001</c:v>
                </c:pt>
                <c:pt idx="5">
                  <c:v>17.100000000000001</c:v>
                </c:pt>
                <c:pt idx="6" formatCode="0.0">
                  <c:v>19.079999999999991</c:v>
                </c:pt>
              </c:numCache>
            </c:numRef>
          </c:val>
          <c:smooth val="0"/>
          <c:extLst>
            <c:ext xmlns:c16="http://schemas.microsoft.com/office/drawing/2014/chart" uri="{C3380CC4-5D6E-409C-BE32-E72D297353CC}">
              <c16:uniqueId val="{00000000-B1C3-4964-9C03-77DADF298D63}"/>
            </c:ext>
          </c:extLst>
        </c:ser>
        <c:ser>
          <c:idx val="1"/>
          <c:order val="1"/>
          <c:tx>
            <c:strRef>
              <c:f>Sheet1!$C$1</c:f>
              <c:strCache>
                <c:ptCount val="1"/>
                <c:pt idx="0">
                  <c:v>Disabled men</c:v>
                </c:pt>
              </c:strCache>
            </c:strRef>
          </c:tx>
          <c:cat>
            <c:numRef>
              <c:f>Sheet1!$A$2:$A$8</c:f>
              <c:numCache>
                <c:formatCode>General</c:formatCode>
                <c:ptCount val="7"/>
                <c:pt idx="0">
                  <c:v>2008</c:v>
                </c:pt>
                <c:pt idx="1">
                  <c:v>2009</c:v>
                </c:pt>
                <c:pt idx="2">
                  <c:v>2010</c:v>
                </c:pt>
                <c:pt idx="3">
                  <c:v>2011</c:v>
                </c:pt>
                <c:pt idx="4">
                  <c:v>2012</c:v>
                </c:pt>
                <c:pt idx="5">
                  <c:v>2013</c:v>
                </c:pt>
                <c:pt idx="6">
                  <c:v>2014</c:v>
                </c:pt>
              </c:numCache>
            </c:numRef>
          </c:cat>
          <c:val>
            <c:numRef>
              <c:f>Sheet1!$C$2:$C$8</c:f>
              <c:numCache>
                <c:formatCode>General</c:formatCode>
                <c:ptCount val="7"/>
                <c:pt idx="0">
                  <c:v>17.100000000000001</c:v>
                </c:pt>
                <c:pt idx="1">
                  <c:v>18.8</c:v>
                </c:pt>
                <c:pt idx="2">
                  <c:v>16.600000000000001</c:v>
                </c:pt>
                <c:pt idx="3">
                  <c:v>21.5</c:v>
                </c:pt>
                <c:pt idx="4">
                  <c:v>18.100000000000001</c:v>
                </c:pt>
                <c:pt idx="5">
                  <c:v>19</c:v>
                </c:pt>
                <c:pt idx="6" formatCode="0.0">
                  <c:v>17.75</c:v>
                </c:pt>
              </c:numCache>
            </c:numRef>
          </c:val>
          <c:smooth val="0"/>
          <c:extLst>
            <c:ext xmlns:c16="http://schemas.microsoft.com/office/drawing/2014/chart" uri="{C3380CC4-5D6E-409C-BE32-E72D297353CC}">
              <c16:uniqueId val="{00000001-B1C3-4964-9C03-77DADF298D63}"/>
            </c:ext>
          </c:extLst>
        </c:ser>
        <c:ser>
          <c:idx val="2"/>
          <c:order val="2"/>
          <c:tx>
            <c:strRef>
              <c:f>Sheet1!$D$1</c:f>
              <c:strCache>
                <c:ptCount val="1"/>
                <c:pt idx="0">
                  <c:v>Non-disabled women</c:v>
                </c:pt>
              </c:strCache>
            </c:strRef>
          </c:tx>
          <c:cat>
            <c:numRef>
              <c:f>Sheet1!$A$2:$A$8</c:f>
              <c:numCache>
                <c:formatCode>General</c:formatCode>
                <c:ptCount val="7"/>
                <c:pt idx="0">
                  <c:v>2008</c:v>
                </c:pt>
                <c:pt idx="1">
                  <c:v>2009</c:v>
                </c:pt>
                <c:pt idx="2">
                  <c:v>2010</c:v>
                </c:pt>
                <c:pt idx="3">
                  <c:v>2011</c:v>
                </c:pt>
                <c:pt idx="4">
                  <c:v>2012</c:v>
                </c:pt>
                <c:pt idx="5">
                  <c:v>2013</c:v>
                </c:pt>
                <c:pt idx="6">
                  <c:v>2014</c:v>
                </c:pt>
              </c:numCache>
            </c:numRef>
          </c:cat>
          <c:val>
            <c:numRef>
              <c:f>Sheet1!$D$2:$D$8</c:f>
              <c:numCache>
                <c:formatCode>General</c:formatCode>
                <c:ptCount val="7"/>
                <c:pt idx="0">
                  <c:v>4.8</c:v>
                </c:pt>
                <c:pt idx="1">
                  <c:v>5.5</c:v>
                </c:pt>
                <c:pt idx="2">
                  <c:v>5</c:v>
                </c:pt>
                <c:pt idx="3">
                  <c:v>5.6</c:v>
                </c:pt>
                <c:pt idx="4">
                  <c:v>5.9</c:v>
                </c:pt>
                <c:pt idx="5">
                  <c:v>6.5</c:v>
                </c:pt>
                <c:pt idx="6" formatCode="0.0">
                  <c:v>6.96</c:v>
                </c:pt>
              </c:numCache>
            </c:numRef>
          </c:val>
          <c:smooth val="0"/>
          <c:extLst>
            <c:ext xmlns:c16="http://schemas.microsoft.com/office/drawing/2014/chart" uri="{C3380CC4-5D6E-409C-BE32-E72D297353CC}">
              <c16:uniqueId val="{00000002-B1C3-4964-9C03-77DADF298D63}"/>
            </c:ext>
          </c:extLst>
        </c:ser>
        <c:ser>
          <c:idx val="3"/>
          <c:order val="3"/>
          <c:tx>
            <c:strRef>
              <c:f>Sheet1!$E$1</c:f>
              <c:strCache>
                <c:ptCount val="1"/>
                <c:pt idx="0">
                  <c:v>Non-disabled men</c:v>
                </c:pt>
              </c:strCache>
            </c:strRef>
          </c:tx>
          <c:cat>
            <c:numRef>
              <c:f>Sheet1!$A$2:$A$8</c:f>
              <c:numCache>
                <c:formatCode>General</c:formatCode>
                <c:ptCount val="7"/>
                <c:pt idx="0">
                  <c:v>2008</c:v>
                </c:pt>
                <c:pt idx="1">
                  <c:v>2009</c:v>
                </c:pt>
                <c:pt idx="2">
                  <c:v>2010</c:v>
                </c:pt>
                <c:pt idx="3">
                  <c:v>2011</c:v>
                </c:pt>
                <c:pt idx="4">
                  <c:v>2012</c:v>
                </c:pt>
                <c:pt idx="5">
                  <c:v>2013</c:v>
                </c:pt>
                <c:pt idx="6">
                  <c:v>2014</c:v>
                </c:pt>
              </c:numCache>
            </c:numRef>
          </c:cat>
          <c:val>
            <c:numRef>
              <c:f>Sheet1!$E$2:$E$8</c:f>
              <c:numCache>
                <c:formatCode>General</c:formatCode>
                <c:ptCount val="7"/>
                <c:pt idx="0">
                  <c:v>4.0999999999999996</c:v>
                </c:pt>
                <c:pt idx="1">
                  <c:v>6.9</c:v>
                </c:pt>
                <c:pt idx="2">
                  <c:v>6.3</c:v>
                </c:pt>
                <c:pt idx="3">
                  <c:v>6.8</c:v>
                </c:pt>
                <c:pt idx="4">
                  <c:v>5.0999999999999996</c:v>
                </c:pt>
                <c:pt idx="5">
                  <c:v>6.3</c:v>
                </c:pt>
                <c:pt idx="6" formatCode="0.0">
                  <c:v>6.79</c:v>
                </c:pt>
              </c:numCache>
            </c:numRef>
          </c:val>
          <c:smooth val="0"/>
          <c:extLst>
            <c:ext xmlns:c16="http://schemas.microsoft.com/office/drawing/2014/chart" uri="{C3380CC4-5D6E-409C-BE32-E72D297353CC}">
              <c16:uniqueId val="{00000003-B1C3-4964-9C03-77DADF298D63}"/>
            </c:ext>
          </c:extLst>
        </c:ser>
        <c:ser>
          <c:idx val="4"/>
          <c:order val="4"/>
          <c:tx>
            <c:strRef>
              <c:f>Sheet1!$F$1</c:f>
              <c:strCache>
                <c:ptCount val="1"/>
                <c:pt idx="0">
                  <c:v>EU average (all)</c:v>
                </c:pt>
              </c:strCache>
            </c:strRef>
          </c:tx>
          <c:cat>
            <c:numRef>
              <c:f>Sheet1!$A$2:$A$8</c:f>
              <c:numCache>
                <c:formatCode>General</c:formatCode>
                <c:ptCount val="7"/>
                <c:pt idx="0">
                  <c:v>2008</c:v>
                </c:pt>
                <c:pt idx="1">
                  <c:v>2009</c:v>
                </c:pt>
                <c:pt idx="2">
                  <c:v>2010</c:v>
                </c:pt>
                <c:pt idx="3">
                  <c:v>2011</c:v>
                </c:pt>
                <c:pt idx="4">
                  <c:v>2012</c:v>
                </c:pt>
                <c:pt idx="5">
                  <c:v>2013</c:v>
                </c:pt>
                <c:pt idx="6">
                  <c:v>2014</c:v>
                </c:pt>
              </c:numCache>
            </c:numRef>
          </c:cat>
          <c:val>
            <c:numRef>
              <c:f>Sheet1!$F$2:$F$8</c:f>
              <c:numCache>
                <c:formatCode>General</c:formatCode>
                <c:ptCount val="7"/>
                <c:pt idx="0">
                  <c:v>8.4</c:v>
                </c:pt>
                <c:pt idx="1">
                  <c:v>10.199999999999999</c:v>
                </c:pt>
                <c:pt idx="2">
                  <c:v>10.9</c:v>
                </c:pt>
                <c:pt idx="3">
                  <c:v>11.3</c:v>
                </c:pt>
                <c:pt idx="4">
                  <c:v>12.2</c:v>
                </c:pt>
                <c:pt idx="5">
                  <c:v>12.9</c:v>
                </c:pt>
                <c:pt idx="6" formatCode="0.0">
                  <c:v>12.6</c:v>
                </c:pt>
              </c:numCache>
            </c:numRef>
          </c:val>
          <c:smooth val="0"/>
          <c:extLst>
            <c:ext xmlns:c16="http://schemas.microsoft.com/office/drawing/2014/chart" uri="{C3380CC4-5D6E-409C-BE32-E72D297353CC}">
              <c16:uniqueId val="{00000004-B1C3-4964-9C03-77DADF298D63}"/>
            </c:ext>
          </c:extLst>
        </c:ser>
        <c:dLbls>
          <c:showLegendKey val="0"/>
          <c:showVal val="0"/>
          <c:showCatName val="0"/>
          <c:showSerName val="0"/>
          <c:showPercent val="0"/>
          <c:showBubbleSize val="0"/>
        </c:dLbls>
        <c:marker val="1"/>
        <c:smooth val="0"/>
        <c:axId val="139582096"/>
        <c:axId val="139582488"/>
      </c:lineChart>
      <c:catAx>
        <c:axId val="139582096"/>
        <c:scaling>
          <c:orientation val="minMax"/>
        </c:scaling>
        <c:delete val="0"/>
        <c:axPos val="b"/>
        <c:numFmt formatCode="General" sourceLinked="1"/>
        <c:majorTickMark val="none"/>
        <c:minorTickMark val="none"/>
        <c:tickLblPos val="nextTo"/>
        <c:crossAx val="139582488"/>
        <c:crosses val="autoZero"/>
        <c:auto val="1"/>
        <c:lblAlgn val="ctr"/>
        <c:lblOffset val="100"/>
        <c:noMultiLvlLbl val="0"/>
      </c:catAx>
      <c:valAx>
        <c:axId val="139582488"/>
        <c:scaling>
          <c:orientation val="minMax"/>
        </c:scaling>
        <c:delete val="0"/>
        <c:axPos val="l"/>
        <c:majorGridlines/>
        <c:title>
          <c:tx>
            <c:rich>
              <a:bodyPr/>
              <a:lstStyle/>
              <a:p>
                <a:pPr>
                  <a:defRPr/>
                </a:pPr>
                <a:r>
                  <a:rPr lang="en-GB"/>
                  <a:t>%</a:t>
                </a:r>
              </a:p>
            </c:rich>
          </c:tx>
          <c:overlay val="0"/>
        </c:title>
        <c:numFmt formatCode="General" sourceLinked="1"/>
        <c:majorTickMark val="none"/>
        <c:minorTickMark val="none"/>
        <c:tickLblPos val="nextTo"/>
        <c:crossAx val="139582096"/>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al!$O$11</c:f>
              <c:strCache>
                <c:ptCount val="1"/>
                <c:pt idx="0">
                  <c:v>increase in unemployment total</c:v>
                </c:pt>
              </c:strCache>
            </c:strRef>
          </c:tx>
          <c:cat>
            <c:numRef>
              <c:f>al!$P$10:$X$10</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al!$P$11:$X$11</c:f>
              <c:numCache>
                <c:formatCode>General</c:formatCode>
                <c:ptCount val="9"/>
                <c:pt idx="0">
                  <c:v>1</c:v>
                </c:pt>
                <c:pt idx="1">
                  <c:v>0.92923143819980503</c:v>
                </c:pt>
                <c:pt idx="2">
                  <c:v>0.88744177878866404</c:v>
                </c:pt>
                <c:pt idx="3">
                  <c:v>1.088366628479684</c:v>
                </c:pt>
                <c:pt idx="4">
                  <c:v>1.0485337034961999</c:v>
                </c:pt>
                <c:pt idx="5">
                  <c:v>1.031474993101257</c:v>
                </c:pt>
                <c:pt idx="6">
                  <c:v>1.0897631013404461</c:v>
                </c:pt>
                <c:pt idx="7">
                  <c:v>1.200828685392225</c:v>
                </c:pt>
                <c:pt idx="8">
                  <c:v>1.335249650881785</c:v>
                </c:pt>
              </c:numCache>
            </c:numRef>
          </c:val>
          <c:smooth val="0"/>
          <c:extLst>
            <c:ext xmlns:c16="http://schemas.microsoft.com/office/drawing/2014/chart" uri="{C3380CC4-5D6E-409C-BE32-E72D297353CC}">
              <c16:uniqueId val="{00000000-C5F2-4856-B714-375BA1D51EB0}"/>
            </c:ext>
          </c:extLst>
        </c:ser>
        <c:ser>
          <c:idx val="1"/>
          <c:order val="1"/>
          <c:tx>
            <c:strRef>
              <c:f>al!$O$12</c:f>
              <c:strCache>
                <c:ptCount val="1"/>
                <c:pt idx="0">
                  <c:v>increase in unemployment disabled</c:v>
                </c:pt>
              </c:strCache>
            </c:strRef>
          </c:tx>
          <c:cat>
            <c:numRef>
              <c:f>al!$P$10:$X$10</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al!$P$12:$X$12</c:f>
              <c:numCache>
                <c:formatCode>General</c:formatCode>
                <c:ptCount val="9"/>
                <c:pt idx="0">
                  <c:v>1</c:v>
                </c:pt>
                <c:pt idx="1">
                  <c:v>1.080322114391906</c:v>
                </c:pt>
                <c:pt idx="2">
                  <c:v>1.075882717323972</c:v>
                </c:pt>
                <c:pt idx="3">
                  <c:v>1.227648151971918</c:v>
                </c:pt>
                <c:pt idx="4">
                  <c:v>1.227338426595086</c:v>
                </c:pt>
                <c:pt idx="5">
                  <c:v>1.254009222933443</c:v>
                </c:pt>
                <c:pt idx="6">
                  <c:v>1.3758001238901509</c:v>
                </c:pt>
                <c:pt idx="7">
                  <c:v>1.62998141647739</c:v>
                </c:pt>
                <c:pt idx="8">
                  <c:v>1.982035928143713</c:v>
                </c:pt>
              </c:numCache>
            </c:numRef>
          </c:val>
          <c:smooth val="0"/>
          <c:extLst>
            <c:ext xmlns:c16="http://schemas.microsoft.com/office/drawing/2014/chart" uri="{C3380CC4-5D6E-409C-BE32-E72D297353CC}">
              <c16:uniqueId val="{00000001-C5F2-4856-B714-375BA1D51EB0}"/>
            </c:ext>
          </c:extLst>
        </c:ser>
        <c:dLbls>
          <c:showLegendKey val="0"/>
          <c:showVal val="0"/>
          <c:showCatName val="0"/>
          <c:showSerName val="0"/>
          <c:showPercent val="0"/>
          <c:showBubbleSize val="0"/>
        </c:dLbls>
        <c:marker val="1"/>
        <c:smooth val="0"/>
        <c:axId val="139750976"/>
        <c:axId val="139751368"/>
      </c:lineChart>
      <c:catAx>
        <c:axId val="139750976"/>
        <c:scaling>
          <c:orientation val="minMax"/>
        </c:scaling>
        <c:delete val="0"/>
        <c:axPos val="b"/>
        <c:numFmt formatCode="General" sourceLinked="1"/>
        <c:majorTickMark val="out"/>
        <c:minorTickMark val="none"/>
        <c:tickLblPos val="nextTo"/>
        <c:crossAx val="139751368"/>
        <c:crosses val="autoZero"/>
        <c:auto val="1"/>
        <c:lblAlgn val="ctr"/>
        <c:lblOffset val="100"/>
        <c:noMultiLvlLbl val="0"/>
      </c:catAx>
      <c:valAx>
        <c:axId val="139751368"/>
        <c:scaling>
          <c:orientation val="minMax"/>
        </c:scaling>
        <c:delete val="0"/>
        <c:axPos val="l"/>
        <c:majorGridlines/>
        <c:numFmt formatCode="General" sourceLinked="1"/>
        <c:majorTickMark val="out"/>
        <c:minorTickMark val="none"/>
        <c:tickLblPos val="nextTo"/>
        <c:crossAx val="139750976"/>
        <c:crosses val="autoZero"/>
        <c:crossBetween val="between"/>
      </c:valAx>
    </c:plotArea>
    <c:legend>
      <c:legendPos val="b"/>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en-GB" sz="1600"/>
              <a:t>Overview of economic activity rates</a:t>
            </a:r>
          </a:p>
        </c:rich>
      </c:tx>
      <c:overlay val="0"/>
    </c:title>
    <c:autoTitleDeleted val="0"/>
    <c:plotArea>
      <c:layout/>
      <c:barChart>
        <c:barDir val="col"/>
        <c:grouping val="clustered"/>
        <c:varyColors val="0"/>
        <c:ser>
          <c:idx val="0"/>
          <c:order val="0"/>
          <c:tx>
            <c:strRef>
              <c:f>Sheet1!$B$1</c:f>
              <c:strCache>
                <c:ptCount val="1"/>
                <c:pt idx="0">
                  <c:v>EU average</c:v>
                </c:pt>
              </c:strCache>
            </c:strRef>
          </c:tx>
          <c:invertIfNegative val="0"/>
          <c:cat>
            <c:strRef>
              <c:f>Sheet1!$A$2:$A$5</c:f>
              <c:strCache>
                <c:ptCount val="4"/>
                <c:pt idx="0">
                  <c:v>Disabled women</c:v>
                </c:pt>
                <c:pt idx="1">
                  <c:v>Disabled men</c:v>
                </c:pt>
                <c:pt idx="2">
                  <c:v>Non-disabled women</c:v>
                </c:pt>
                <c:pt idx="3">
                  <c:v>Non-disabled men</c:v>
                </c:pt>
              </c:strCache>
            </c:strRef>
          </c:cat>
          <c:val>
            <c:numRef>
              <c:f>Sheet1!$B$2:$B$5</c:f>
              <c:numCache>
                <c:formatCode>0.0</c:formatCode>
                <c:ptCount val="4"/>
                <c:pt idx="0">
                  <c:v>56.28</c:v>
                </c:pt>
                <c:pt idx="1">
                  <c:v>65.66</c:v>
                </c:pt>
                <c:pt idx="2">
                  <c:v>75.08</c:v>
                </c:pt>
                <c:pt idx="3">
                  <c:v>88.35</c:v>
                </c:pt>
              </c:numCache>
            </c:numRef>
          </c:val>
          <c:extLst>
            <c:ext xmlns:c16="http://schemas.microsoft.com/office/drawing/2014/chart" uri="{C3380CC4-5D6E-409C-BE32-E72D297353CC}">
              <c16:uniqueId val="{00000000-EBB3-4961-8558-7F1D48461AB7}"/>
            </c:ext>
          </c:extLst>
        </c:ser>
        <c:ser>
          <c:idx val="1"/>
          <c:order val="1"/>
          <c:tx>
            <c:strRef>
              <c:f>Sheet1!$C$1</c:f>
              <c:strCache>
                <c:ptCount val="1"/>
                <c:pt idx="0">
                  <c:v>National average</c:v>
                </c:pt>
              </c:strCache>
            </c:strRef>
          </c:tx>
          <c:invertIfNegative val="0"/>
          <c:cat>
            <c:strRef>
              <c:f>Sheet1!$A$2:$A$5</c:f>
              <c:strCache>
                <c:ptCount val="4"/>
                <c:pt idx="0">
                  <c:v>Disabled women</c:v>
                </c:pt>
                <c:pt idx="1">
                  <c:v>Disabled men</c:v>
                </c:pt>
                <c:pt idx="2">
                  <c:v>Non-disabled women</c:v>
                </c:pt>
                <c:pt idx="3">
                  <c:v>Non-disabled men</c:v>
                </c:pt>
              </c:strCache>
            </c:strRef>
          </c:cat>
          <c:val>
            <c:numRef>
              <c:f>Sheet1!$C$2:$C$5</c:f>
              <c:numCache>
                <c:formatCode>0.0</c:formatCode>
                <c:ptCount val="4"/>
                <c:pt idx="0">
                  <c:v>62.07</c:v>
                </c:pt>
                <c:pt idx="1">
                  <c:v>71.150000000000006</c:v>
                </c:pt>
                <c:pt idx="2">
                  <c:v>69.92</c:v>
                </c:pt>
                <c:pt idx="3">
                  <c:v>87.54</c:v>
                </c:pt>
              </c:numCache>
            </c:numRef>
          </c:val>
          <c:extLst>
            <c:ext xmlns:c16="http://schemas.microsoft.com/office/drawing/2014/chart" uri="{C3380CC4-5D6E-409C-BE32-E72D297353CC}">
              <c16:uniqueId val="{00000001-EBB3-4961-8558-7F1D48461AB7}"/>
            </c:ext>
          </c:extLst>
        </c:ser>
        <c:dLbls>
          <c:showLegendKey val="0"/>
          <c:showVal val="0"/>
          <c:showCatName val="0"/>
          <c:showSerName val="0"/>
          <c:showPercent val="0"/>
          <c:showBubbleSize val="0"/>
        </c:dLbls>
        <c:gapWidth val="150"/>
        <c:axId val="139752152"/>
        <c:axId val="139752544"/>
      </c:barChart>
      <c:catAx>
        <c:axId val="139752152"/>
        <c:scaling>
          <c:orientation val="minMax"/>
        </c:scaling>
        <c:delete val="0"/>
        <c:axPos val="b"/>
        <c:numFmt formatCode="General" sourceLinked="1"/>
        <c:majorTickMark val="none"/>
        <c:minorTickMark val="none"/>
        <c:tickLblPos val="nextTo"/>
        <c:crossAx val="139752544"/>
        <c:crosses val="autoZero"/>
        <c:auto val="1"/>
        <c:lblAlgn val="ctr"/>
        <c:lblOffset val="100"/>
        <c:noMultiLvlLbl val="0"/>
      </c:catAx>
      <c:valAx>
        <c:axId val="139752544"/>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39752152"/>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809A0-C261-45B0-937C-5BF265E68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37</Pages>
  <Words>9265</Words>
  <Characters>50958</Characters>
  <Application>Microsoft Office Word</Application>
  <DocSecurity>0</DocSecurity>
  <Lines>424</Lines>
  <Paragraphs>120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Leeds</Company>
  <LinksUpToDate>false</LinksUpToDate>
  <CharactersWithSpaces>60103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Priestley</dc:creator>
  <cp:lastModifiedBy>Rebecca van Midden</cp:lastModifiedBy>
  <cp:revision>8</cp:revision>
  <cp:lastPrinted>2016-07-29T06:36:00Z</cp:lastPrinted>
  <dcterms:created xsi:type="dcterms:W3CDTF">2017-05-24T10:21:00Z</dcterms:created>
  <dcterms:modified xsi:type="dcterms:W3CDTF">2017-06-07T10:12:00Z</dcterms:modified>
</cp:coreProperties>
</file>